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43" w:rsidRDefault="001E7C43" w:rsidP="001E7C43">
      <w:pPr>
        <w:jc w:val="center"/>
        <w:rPr>
          <w:rFonts w:cs="Times New Roman"/>
          <w:b/>
          <w:szCs w:val="24"/>
        </w:rPr>
      </w:pPr>
      <w:r>
        <w:rPr>
          <w:rFonts w:eastAsia="Arial" w:cs="Times New Roman"/>
          <w:b/>
          <w:color w:val="222222"/>
          <w:szCs w:val="24"/>
          <w:highlight w:val="white"/>
        </w:rPr>
        <w:t>Public Charge and Applicants for Change/Extension of Nonimmigrant Status</w:t>
      </w:r>
    </w:p>
    <w:p w:rsidR="001E7C43" w:rsidRDefault="001E7C43" w:rsidP="001E7C43">
      <w:pPr>
        <w:jc w:val="center"/>
        <w:rPr>
          <w:rFonts w:cs="Times New Roman"/>
          <w:b/>
          <w:szCs w:val="24"/>
        </w:rPr>
      </w:pPr>
      <w:r>
        <w:rPr>
          <w:rFonts w:cs="Times New Roman"/>
          <w:szCs w:val="24"/>
        </w:rPr>
        <w:t xml:space="preserve">By </w:t>
      </w:r>
      <w:hyperlink r:id="rId9" w:history="1">
        <w:r>
          <w:rPr>
            <w:rStyle w:val="Hyperlink"/>
            <w:rFonts w:cs="Times New Roman"/>
            <w:b/>
            <w:color w:val="1155CC"/>
            <w:szCs w:val="24"/>
          </w:rPr>
          <w:t>Dan Berger</w:t>
        </w:r>
      </w:hyperlink>
      <w:r>
        <w:rPr>
          <w:rFonts w:cs="Times New Roman"/>
          <w:b/>
          <w:szCs w:val="24"/>
        </w:rPr>
        <w:t xml:space="preserve">, </w:t>
      </w:r>
      <w:hyperlink r:id="rId10" w:history="1">
        <w:r>
          <w:rPr>
            <w:rStyle w:val="Hyperlink"/>
            <w:rFonts w:cs="Times New Roman"/>
            <w:b/>
            <w:color w:val="1155CC"/>
            <w:szCs w:val="24"/>
          </w:rPr>
          <w:t xml:space="preserve">Julia </w:t>
        </w:r>
        <w:proofErr w:type="spellStart"/>
        <w:r>
          <w:rPr>
            <w:rStyle w:val="Hyperlink"/>
            <w:rFonts w:cs="Times New Roman"/>
            <w:b/>
            <w:color w:val="1155CC"/>
            <w:szCs w:val="24"/>
          </w:rPr>
          <w:t>Teele</w:t>
        </w:r>
        <w:proofErr w:type="spellEnd"/>
      </w:hyperlink>
      <w:r>
        <w:rPr>
          <w:rFonts w:cs="Times New Roman"/>
          <w:b/>
          <w:szCs w:val="24"/>
        </w:rPr>
        <w:t>,</w:t>
      </w:r>
      <w:hyperlink r:id="rId11" w:history="1">
        <w:r>
          <w:rPr>
            <w:rStyle w:val="Hyperlink"/>
            <w:rFonts w:cs="Times New Roman"/>
            <w:b/>
            <w:color w:val="1155CC"/>
            <w:szCs w:val="24"/>
          </w:rPr>
          <w:t xml:space="preserve"> Stephen Yale-Loehr,</w:t>
        </w:r>
      </w:hyperlink>
      <w:r>
        <w:rPr>
          <w:rFonts w:cs="Times New Roman"/>
          <w:b/>
          <w:szCs w:val="24"/>
        </w:rPr>
        <w:t xml:space="preserve"> </w:t>
      </w:r>
      <w:hyperlink r:id="rId12" w:history="1">
        <w:r>
          <w:rPr>
            <w:rStyle w:val="Hyperlink"/>
            <w:rFonts w:cs="Times New Roman"/>
            <w:b/>
            <w:color w:val="1155CC"/>
            <w:szCs w:val="24"/>
          </w:rPr>
          <w:t>Lisa York</w:t>
        </w:r>
      </w:hyperlink>
      <w:r>
        <w:rPr>
          <w:rFonts w:cs="Times New Roman"/>
          <w:b/>
          <w:szCs w:val="24"/>
        </w:rPr>
        <w:t xml:space="preserve">, </w:t>
      </w:r>
      <w:hyperlink r:id="rId13" w:history="1">
        <w:r>
          <w:rPr>
            <w:rStyle w:val="Hyperlink"/>
            <w:rFonts w:cs="Times New Roman"/>
            <w:b/>
            <w:color w:val="1155CC"/>
            <w:szCs w:val="24"/>
          </w:rPr>
          <w:t>David Wilks</w:t>
        </w:r>
      </w:hyperlink>
      <w:r>
        <w:rPr>
          <w:rFonts w:cs="Times New Roman"/>
          <w:b/>
          <w:szCs w:val="24"/>
        </w:rPr>
        <w:t xml:space="preserve">, and </w:t>
      </w:r>
      <w:hyperlink r:id="rId14" w:history="1">
        <w:r>
          <w:rPr>
            <w:rStyle w:val="Hyperlink"/>
            <w:rFonts w:cs="Times New Roman"/>
            <w:b/>
            <w:color w:val="1155CC"/>
            <w:szCs w:val="24"/>
          </w:rPr>
          <w:t>Sandra Bruno</w:t>
        </w:r>
      </w:hyperlink>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 xml:space="preserve">Beginning October 15, 2019, a new federal regulation will change the way USCIS looks at “public charge,” which is an evaluation of whether a foreign national is likely to need help from the U.S. or state government while they remain in the United States. In other words, the U.S. wants to see that an </w:t>
      </w:r>
      <w:proofErr w:type="spellStart"/>
      <w:r>
        <w:rPr>
          <w:rFonts w:cs="Times New Roman"/>
          <w:szCs w:val="24"/>
        </w:rPr>
        <w:t>internaitonal</w:t>
      </w:r>
      <w:proofErr w:type="spellEnd"/>
      <w:r>
        <w:rPr>
          <w:rFonts w:cs="Times New Roman"/>
          <w:szCs w:val="24"/>
        </w:rPr>
        <w:t xml:space="preserve"> student is not likely to need money or assistance. </w:t>
      </w:r>
      <w:hyperlink r:id="rId15" w:history="1">
        <w:r>
          <w:rPr>
            <w:rStyle w:val="Hyperlink"/>
            <w:rFonts w:cs="Times New Roman"/>
            <w:color w:val="1155CC"/>
            <w:szCs w:val="24"/>
          </w:rPr>
          <w:t>Recent updates</w:t>
        </w:r>
      </w:hyperlink>
      <w:r>
        <w:rPr>
          <w:rFonts w:cs="Times New Roman"/>
          <w:szCs w:val="24"/>
        </w:rPr>
        <w:t xml:space="preserve"> to the rule have helped clarify some of the more confusing or conflicting parts.</w:t>
      </w:r>
      <w:r>
        <w:rPr>
          <w:rFonts w:cs="Times New Roman"/>
          <w:szCs w:val="24"/>
          <w:vertAlign w:val="superscript"/>
        </w:rPr>
        <w:footnoteReference w:id="1"/>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Though the new rule is not yet in place, it has already had an alarming effect. According to a recent survey by the Urban Institute, many foreign nationals have reported abstaining from any and all ‘safety net’ public benefits programs in 2018 out of fear for how this may impact their future ability to stay in the US.</w:t>
      </w:r>
      <w:r>
        <w:rPr>
          <w:rFonts w:cs="Times New Roman"/>
          <w:szCs w:val="24"/>
          <w:vertAlign w:val="superscript"/>
        </w:rPr>
        <w:footnoteReference w:id="2"/>
      </w:r>
      <w:r>
        <w:rPr>
          <w:rFonts w:cs="Times New Roman"/>
          <w:szCs w:val="24"/>
        </w:rPr>
        <w:t xml:space="preserve"> The study reveals how confusion around the new rule has already taken its toll, often impacting individuals and families who will not, in fact, be subject to the federal regulation. Citing the news, social media, and second-hand accounts as their primary source of information, many foreign nationals lack a clear understanding of the new rule and how, or even if, it will impact them. </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 xml:space="preserve">While the public charge rule </w:t>
      </w:r>
      <w:r>
        <w:rPr>
          <w:rFonts w:cs="Times New Roman"/>
          <w:b/>
          <w:szCs w:val="24"/>
        </w:rPr>
        <w:t xml:space="preserve">does </w:t>
      </w:r>
      <w:r>
        <w:rPr>
          <w:rFonts w:cs="Times New Roman"/>
          <w:szCs w:val="24"/>
        </w:rPr>
        <w:t xml:space="preserve">apply to F-1 students, understanding the regulation can help ensure that F-1 students and their families do not face undue hardship. Among the core community messages of the Protecting Immigrant Families (PIF) Campaign is the call to </w:t>
      </w:r>
      <w:r>
        <w:rPr>
          <w:rFonts w:cs="Times New Roman"/>
          <w:b/>
          <w:i/>
          <w:szCs w:val="24"/>
        </w:rPr>
        <w:t>know your rights</w:t>
      </w:r>
      <w:r>
        <w:rPr>
          <w:rFonts w:cs="Times New Roman"/>
          <w:szCs w:val="24"/>
        </w:rPr>
        <w:t xml:space="preserve"> in the face of the new regulation.</w:t>
      </w:r>
      <w:r>
        <w:rPr>
          <w:rFonts w:cs="Times New Roman"/>
          <w:szCs w:val="24"/>
          <w:vertAlign w:val="superscript"/>
        </w:rPr>
        <w:footnoteReference w:id="3"/>
      </w:r>
      <w:r>
        <w:rPr>
          <w:rFonts w:cs="Times New Roman"/>
          <w:szCs w:val="24"/>
        </w:rPr>
        <w:t xml:space="preserve"> The rule may be delayed by one of a variety of lawsuits filed, and several prominent </w:t>
      </w:r>
      <w:hyperlink r:id="rId16" w:history="1">
        <w:r>
          <w:rPr>
            <w:rStyle w:val="Hyperlink"/>
            <w:rFonts w:cs="Times New Roman"/>
            <w:color w:val="1155CC"/>
            <w:szCs w:val="24"/>
          </w:rPr>
          <w:t>higher education leaders have spoken out against the rule</w:t>
        </w:r>
      </w:hyperlink>
      <w:r>
        <w:rPr>
          <w:rFonts w:cs="Times New Roman"/>
          <w:szCs w:val="24"/>
        </w:rPr>
        <w:t xml:space="preserve"> and </w:t>
      </w:r>
      <w:hyperlink r:id="rId17" w:history="1">
        <w:r>
          <w:rPr>
            <w:rStyle w:val="Hyperlink"/>
            <w:rFonts w:cs="Times New Roman"/>
            <w:color w:val="1155CC"/>
            <w:szCs w:val="24"/>
          </w:rPr>
          <w:t>joined a brief to the court</w:t>
        </w:r>
      </w:hyperlink>
      <w:r>
        <w:rPr>
          <w:rFonts w:cs="Times New Roman"/>
          <w:szCs w:val="24"/>
        </w:rPr>
        <w:t xml:space="preserve"> - but with a clearer understanding of the factors that trigger the new public charge determination, F-1 students can better understand their options and make informed choices.</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I.</w:t>
      </w:r>
      <w:r>
        <w:rPr>
          <w:rFonts w:cs="Times New Roman"/>
          <w:szCs w:val="24"/>
        </w:rPr>
        <w:tab/>
      </w:r>
      <w:r>
        <w:rPr>
          <w:rFonts w:cs="Times New Roman"/>
          <w:szCs w:val="24"/>
          <w:u w:val="single"/>
        </w:rPr>
        <w:t>What is the new rule?</w:t>
      </w:r>
    </w:p>
    <w:p w:rsidR="001E7C43" w:rsidRDefault="001E7C43" w:rsidP="001E7C43">
      <w:pPr>
        <w:rPr>
          <w:rFonts w:cs="Times New Roman"/>
          <w:szCs w:val="24"/>
        </w:rPr>
      </w:pPr>
    </w:p>
    <w:p w:rsidR="001E7C43" w:rsidRDefault="001E7C43" w:rsidP="001E7C43">
      <w:pPr>
        <w:rPr>
          <w:rFonts w:cs="Times New Roman"/>
          <w:szCs w:val="24"/>
        </w:rPr>
      </w:pPr>
      <w:hyperlink r:id="rId18" w:history="1">
        <w:r>
          <w:rPr>
            <w:rStyle w:val="Hyperlink"/>
            <w:rFonts w:cs="Times New Roman"/>
            <w:color w:val="1155CC"/>
            <w:szCs w:val="24"/>
          </w:rPr>
          <w:t>Effective October 15, 201</w:t>
        </w:r>
      </w:hyperlink>
      <w:r>
        <w:rPr>
          <w:rFonts w:cs="Times New Roman"/>
          <w:szCs w:val="24"/>
        </w:rPr>
        <w:t xml:space="preserve">9, USCIS may deny requests to change or extend nonimmigrant status for foreign nationals </w:t>
      </w:r>
      <w:r>
        <w:rPr>
          <w:rFonts w:cs="Times New Roman"/>
          <w:b/>
          <w:szCs w:val="24"/>
        </w:rPr>
        <w:t>who received one or more public benefits for a total of one year in a three year period</w:t>
      </w:r>
      <w:r>
        <w:rPr>
          <w:rFonts w:cs="Times New Roman"/>
          <w:szCs w:val="24"/>
        </w:rPr>
        <w:t>.</w:t>
      </w:r>
      <w:r>
        <w:rPr>
          <w:rFonts w:cs="Times New Roman"/>
          <w:szCs w:val="24"/>
          <w:vertAlign w:val="superscript"/>
        </w:rPr>
        <w:footnoteReference w:id="4"/>
      </w:r>
      <w:r>
        <w:rPr>
          <w:rFonts w:cs="Times New Roman"/>
          <w:szCs w:val="24"/>
        </w:rPr>
        <w:t xml:space="preserve"> </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This means USCIS can look back on any three year period during which you maintained the status you are seeking to extend or change.</w:t>
      </w:r>
      <w:r>
        <w:rPr>
          <w:rFonts w:cs="Times New Roman"/>
          <w:szCs w:val="24"/>
          <w:vertAlign w:val="superscript"/>
        </w:rPr>
        <w:footnoteReference w:id="5"/>
      </w:r>
      <w:r>
        <w:rPr>
          <w:rFonts w:cs="Times New Roman"/>
          <w:szCs w:val="24"/>
        </w:rPr>
        <w:t xml:space="preserve"> </w:t>
      </w:r>
      <w:r>
        <w:rPr>
          <w:rFonts w:cs="Times New Roman"/>
          <w:szCs w:val="24"/>
          <w:vertAlign w:val="superscript"/>
        </w:rPr>
        <w:footnoteReference w:id="6"/>
      </w:r>
      <w:r>
        <w:rPr>
          <w:rFonts w:cs="Times New Roman"/>
          <w:szCs w:val="24"/>
        </w:rPr>
        <w:t xml:space="preserve"> </w:t>
      </w:r>
      <w:r>
        <w:rPr>
          <w:rFonts w:cs="Times New Roman"/>
          <w:b/>
          <w:szCs w:val="24"/>
        </w:rPr>
        <w:t xml:space="preserve">The look-back period does </w:t>
      </w:r>
      <w:r>
        <w:rPr>
          <w:rFonts w:cs="Times New Roman"/>
          <w:b/>
          <w:szCs w:val="24"/>
          <w:u w:val="single"/>
        </w:rPr>
        <w:t>not</w:t>
      </w:r>
      <w:r>
        <w:rPr>
          <w:rFonts w:cs="Times New Roman"/>
          <w:b/>
          <w:szCs w:val="24"/>
        </w:rPr>
        <w:t xml:space="preserve"> cover the period </w:t>
      </w:r>
      <w:r>
        <w:rPr>
          <w:rFonts w:cs="Times New Roman"/>
          <w:b/>
          <w:szCs w:val="24"/>
        </w:rPr>
        <w:lastRenderedPageBreak/>
        <w:t>of time in a status other than the one to be extended or the one to be changed.</w:t>
      </w:r>
      <w:r>
        <w:rPr>
          <w:rFonts w:cs="Times New Roman"/>
          <w:szCs w:val="24"/>
        </w:rPr>
        <w:t xml:space="preserve"> For example, if you have maintained F-1 status for two years before filing to extend or change this status, USCIS can </w:t>
      </w:r>
      <w:r>
        <w:rPr>
          <w:rFonts w:cs="Times New Roman"/>
          <w:szCs w:val="24"/>
          <w:u w:val="single"/>
        </w:rPr>
        <w:t>only</w:t>
      </w:r>
      <w:r>
        <w:rPr>
          <w:rFonts w:cs="Times New Roman"/>
          <w:szCs w:val="24"/>
        </w:rPr>
        <w:t xml:space="preserve"> look back two years to determine whether you received public benefits that might trigger the public charge ground of inadmissibility.</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This public charge test only applies to the individual applying for a change of status or extension of stay - not their family unless the family member is also applying for change or extension of status.</w:t>
      </w:r>
      <w:r>
        <w:rPr>
          <w:rFonts w:cs="Times New Roman"/>
          <w:szCs w:val="24"/>
          <w:vertAlign w:val="superscript"/>
        </w:rPr>
        <w:footnoteReference w:id="7"/>
      </w:r>
      <w:r>
        <w:rPr>
          <w:rFonts w:cs="Times New Roman"/>
          <w:szCs w:val="24"/>
        </w:rPr>
        <w:t xml:space="preserve"> If your parent, spouse, child, or other relative is not applying with you, then their use of public benefit programs will not reviewed by USCIS when they conduct the public charge review. </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II.</w:t>
      </w:r>
      <w:r>
        <w:rPr>
          <w:rFonts w:cs="Times New Roman"/>
          <w:szCs w:val="24"/>
        </w:rPr>
        <w:tab/>
      </w:r>
      <w:r>
        <w:rPr>
          <w:rFonts w:cs="Times New Roman"/>
          <w:szCs w:val="24"/>
          <w:u w:val="single"/>
        </w:rPr>
        <w:t>What will change with the petition or application process?</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 xml:space="preserve">The forms to request a change of status or extension of stay (I-129 and I-539) will include new questions aimed at determining whether you have received public benefits since obtaining the nonimmigrant status you are seeking to extend or change. </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III.</w:t>
      </w:r>
      <w:r>
        <w:rPr>
          <w:rFonts w:cs="Times New Roman"/>
          <w:szCs w:val="24"/>
        </w:rPr>
        <w:tab/>
      </w:r>
      <w:r>
        <w:rPr>
          <w:rFonts w:cs="Times New Roman"/>
          <w:szCs w:val="24"/>
          <w:u w:val="single"/>
        </w:rPr>
        <w:t>What public benefits will trigger the inadmissibility determination?</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 xml:space="preserve">Receipt of any of the following public benefits for more than a total of one year will trigger the public charge determination: </w:t>
      </w:r>
    </w:p>
    <w:p w:rsidR="001E7C43" w:rsidRDefault="001E7C43" w:rsidP="001E7C43">
      <w:pPr>
        <w:ind w:left="720"/>
        <w:rPr>
          <w:rFonts w:cs="Times New Roman"/>
          <w:szCs w:val="24"/>
        </w:rPr>
      </w:pPr>
      <w:r>
        <w:rPr>
          <w:rFonts w:cs="Times New Roman"/>
          <w:szCs w:val="24"/>
        </w:rPr>
        <w:t>•</w:t>
      </w:r>
      <w:r>
        <w:rPr>
          <w:rFonts w:cs="Times New Roman"/>
          <w:szCs w:val="24"/>
        </w:rPr>
        <w:tab/>
        <w:t xml:space="preserve">Any federal, state, or </w:t>
      </w:r>
      <w:proofErr w:type="gramStart"/>
      <w:r>
        <w:rPr>
          <w:rFonts w:cs="Times New Roman"/>
          <w:szCs w:val="24"/>
        </w:rPr>
        <w:t>local  cash</w:t>
      </w:r>
      <w:proofErr w:type="gramEnd"/>
      <w:r>
        <w:rPr>
          <w:rFonts w:cs="Times New Roman"/>
          <w:szCs w:val="24"/>
        </w:rPr>
        <w:t xml:space="preserve"> assistance for income maintenance   </w:t>
      </w:r>
    </w:p>
    <w:p w:rsidR="001E7C43" w:rsidRDefault="001E7C43" w:rsidP="001E7C43">
      <w:pPr>
        <w:ind w:left="720"/>
        <w:rPr>
          <w:rFonts w:cs="Times New Roman"/>
          <w:szCs w:val="24"/>
        </w:rPr>
      </w:pPr>
      <w:r>
        <w:rPr>
          <w:rFonts w:cs="Times New Roman"/>
          <w:szCs w:val="24"/>
        </w:rPr>
        <w:t>•</w:t>
      </w:r>
      <w:r>
        <w:rPr>
          <w:rFonts w:cs="Times New Roman"/>
          <w:szCs w:val="24"/>
        </w:rPr>
        <w:tab/>
        <w:t xml:space="preserve">Supplemental Security Income (SSI) </w:t>
      </w:r>
    </w:p>
    <w:p w:rsidR="001E7C43" w:rsidRDefault="001E7C43" w:rsidP="001E7C43">
      <w:pPr>
        <w:ind w:left="720"/>
        <w:rPr>
          <w:rFonts w:cs="Times New Roman"/>
          <w:szCs w:val="24"/>
        </w:rPr>
      </w:pPr>
      <w:r>
        <w:rPr>
          <w:rFonts w:cs="Times New Roman"/>
          <w:szCs w:val="24"/>
        </w:rPr>
        <w:t>•</w:t>
      </w:r>
      <w:r>
        <w:rPr>
          <w:rFonts w:cs="Times New Roman"/>
          <w:szCs w:val="24"/>
        </w:rPr>
        <w:tab/>
        <w:t xml:space="preserve">Temporary Assistance for Needy Families (TANF) </w:t>
      </w:r>
    </w:p>
    <w:p w:rsidR="001E7C43" w:rsidRDefault="001E7C43" w:rsidP="001E7C43">
      <w:pPr>
        <w:ind w:left="1440" w:hanging="720"/>
        <w:rPr>
          <w:rFonts w:cs="Times New Roman"/>
          <w:szCs w:val="24"/>
        </w:rPr>
      </w:pPr>
      <w:r>
        <w:rPr>
          <w:rFonts w:cs="Times New Roman"/>
          <w:szCs w:val="24"/>
        </w:rPr>
        <w:t>•</w:t>
      </w:r>
      <w:r>
        <w:rPr>
          <w:rFonts w:cs="Times New Roman"/>
          <w:szCs w:val="24"/>
        </w:rPr>
        <w:tab/>
        <w:t xml:space="preserve">Federal, state or local cash benefit programs for income maintenance (often called “General Assistance” in the state context, but which may exist under other names)  </w:t>
      </w:r>
    </w:p>
    <w:p w:rsidR="001E7C43" w:rsidRDefault="001E7C43" w:rsidP="001E7C43">
      <w:pPr>
        <w:ind w:left="720"/>
        <w:rPr>
          <w:rFonts w:cs="Times New Roman"/>
          <w:szCs w:val="24"/>
        </w:rPr>
      </w:pPr>
      <w:r>
        <w:rPr>
          <w:rFonts w:cs="Times New Roman"/>
          <w:szCs w:val="24"/>
        </w:rPr>
        <w:t>•</w:t>
      </w:r>
      <w:r>
        <w:rPr>
          <w:rFonts w:cs="Times New Roman"/>
          <w:szCs w:val="24"/>
        </w:rPr>
        <w:tab/>
        <w:t xml:space="preserve">Supplemental Nutrition Assistance Program (SNAP, formerly called “Food Stamps”) </w:t>
      </w:r>
    </w:p>
    <w:p w:rsidR="001E7C43" w:rsidRDefault="001E7C43" w:rsidP="001E7C43">
      <w:pPr>
        <w:ind w:left="720"/>
        <w:rPr>
          <w:rFonts w:cs="Times New Roman"/>
          <w:szCs w:val="24"/>
        </w:rPr>
      </w:pPr>
      <w:r>
        <w:rPr>
          <w:rFonts w:cs="Times New Roman"/>
          <w:szCs w:val="24"/>
        </w:rPr>
        <w:t>•</w:t>
      </w:r>
      <w:r>
        <w:rPr>
          <w:rFonts w:cs="Times New Roman"/>
          <w:szCs w:val="24"/>
        </w:rPr>
        <w:tab/>
        <w:t>Section 8 and 9 Housing Assistance</w:t>
      </w:r>
    </w:p>
    <w:p w:rsidR="001E7C43" w:rsidRDefault="001E7C43" w:rsidP="001E7C43">
      <w:pPr>
        <w:ind w:left="720"/>
        <w:rPr>
          <w:rFonts w:cs="Times New Roman"/>
          <w:szCs w:val="24"/>
        </w:rPr>
      </w:pPr>
      <w:r>
        <w:rPr>
          <w:rFonts w:cs="Times New Roman"/>
          <w:szCs w:val="24"/>
        </w:rPr>
        <w:t>•</w:t>
      </w:r>
      <w:r>
        <w:rPr>
          <w:rFonts w:cs="Times New Roman"/>
          <w:szCs w:val="24"/>
        </w:rPr>
        <w:tab/>
        <w:t xml:space="preserve">Section </w:t>
      </w:r>
      <w:proofErr w:type="gramStart"/>
      <w:r>
        <w:rPr>
          <w:rFonts w:cs="Times New Roman"/>
          <w:szCs w:val="24"/>
        </w:rPr>
        <w:t>8 Project-Based Rental Assistance</w:t>
      </w:r>
      <w:proofErr w:type="gramEnd"/>
      <w:r>
        <w:rPr>
          <w:rFonts w:cs="Times New Roman"/>
          <w:szCs w:val="24"/>
        </w:rPr>
        <w:t xml:space="preserve"> </w:t>
      </w:r>
    </w:p>
    <w:p w:rsidR="001E7C43" w:rsidRDefault="001E7C43" w:rsidP="001E7C43">
      <w:pPr>
        <w:ind w:left="720"/>
        <w:rPr>
          <w:rFonts w:cs="Times New Roman"/>
          <w:szCs w:val="24"/>
        </w:rPr>
      </w:pPr>
      <w:r>
        <w:rPr>
          <w:rFonts w:cs="Times New Roman"/>
          <w:szCs w:val="24"/>
        </w:rPr>
        <w:t>•</w:t>
      </w:r>
      <w:r>
        <w:rPr>
          <w:rFonts w:cs="Times New Roman"/>
          <w:szCs w:val="24"/>
        </w:rPr>
        <w:tab/>
        <w:t xml:space="preserve">Federally funded Medicaid (with certain exclusions) </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IV.</w:t>
      </w:r>
      <w:r>
        <w:rPr>
          <w:rFonts w:cs="Times New Roman"/>
          <w:szCs w:val="24"/>
        </w:rPr>
        <w:tab/>
      </w:r>
      <w:r>
        <w:rPr>
          <w:rFonts w:cs="Times New Roman"/>
          <w:szCs w:val="24"/>
          <w:u w:val="single"/>
        </w:rPr>
        <w:t>What about student loans and scholarships?</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 xml:space="preserve">The new regulation makes clear that </w:t>
      </w:r>
      <w:r>
        <w:rPr>
          <w:rFonts w:cs="Times New Roman"/>
          <w:b/>
          <w:szCs w:val="24"/>
        </w:rPr>
        <w:t>Pell grants and other student aid programs do not trigger a public charge determination.</w:t>
      </w:r>
      <w:r>
        <w:rPr>
          <w:rFonts w:cs="Times New Roman"/>
          <w:szCs w:val="24"/>
        </w:rPr>
        <w:t xml:space="preserve"> It states:</w:t>
      </w:r>
      <w:r>
        <w:rPr>
          <w:rFonts w:cs="Times New Roman"/>
          <w:szCs w:val="24"/>
          <w:vertAlign w:val="superscript"/>
        </w:rPr>
        <w:footnoteReference w:id="8"/>
      </w:r>
      <w:r>
        <w:rPr>
          <w:rFonts w:cs="Times New Roman"/>
          <w:szCs w:val="24"/>
        </w:rPr>
        <w:t xml:space="preserve"> </w:t>
      </w:r>
    </w:p>
    <w:p w:rsidR="001E7C43" w:rsidRDefault="001E7C43" w:rsidP="001E7C43">
      <w:pPr>
        <w:rPr>
          <w:rFonts w:cs="Times New Roman"/>
          <w:szCs w:val="24"/>
        </w:rPr>
      </w:pPr>
    </w:p>
    <w:p w:rsidR="001E7C43" w:rsidRDefault="001E7C43" w:rsidP="001E7C43">
      <w:pPr>
        <w:ind w:left="720"/>
        <w:rPr>
          <w:rFonts w:cs="Times New Roman"/>
          <w:szCs w:val="24"/>
        </w:rPr>
      </w:pPr>
      <w:r>
        <w:rPr>
          <w:rFonts w:cs="Times New Roman"/>
          <w:i/>
          <w:szCs w:val="24"/>
        </w:rPr>
        <w:t xml:space="preserve">“Pell grants and student aid programs will not be considered in the public charge inadmissibility determination. As previously discussed, </w:t>
      </w:r>
      <w:r>
        <w:rPr>
          <w:rFonts w:cs="Times New Roman"/>
          <w:i/>
          <w:szCs w:val="24"/>
          <w:u w:val="single"/>
        </w:rPr>
        <w:t>DHS’s list of public benefits included in the regulation is an exhaustive list and only those benefits listed will be considered in a public charge inadmissibility determination.</w:t>
      </w:r>
      <w:r>
        <w:rPr>
          <w:rFonts w:cs="Times New Roman"/>
          <w:i/>
          <w:szCs w:val="24"/>
        </w:rPr>
        <w:t xml:space="preserve"> The focus of the rule is </w:t>
      </w:r>
      <w:r>
        <w:rPr>
          <w:rFonts w:cs="Times New Roman"/>
          <w:i/>
          <w:szCs w:val="24"/>
        </w:rPr>
        <w:lastRenderedPageBreak/>
        <w:t>public benefits programs that provide cash assistance for income maintenance or support food nutrition, housing and healthcare with a relatively high overall expenditure. Pell grants and student aid programs are education-based and DHS is not considering them in the public charge inadmissibility determination.”</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V.</w:t>
      </w:r>
      <w:r>
        <w:rPr>
          <w:rFonts w:cs="Times New Roman"/>
          <w:szCs w:val="24"/>
        </w:rPr>
        <w:tab/>
      </w:r>
      <w:r>
        <w:rPr>
          <w:rFonts w:cs="Times New Roman"/>
          <w:szCs w:val="24"/>
          <w:u w:val="single"/>
        </w:rPr>
        <w:t xml:space="preserve">What public benefits will </w:t>
      </w:r>
      <w:r>
        <w:rPr>
          <w:rFonts w:cs="Times New Roman"/>
          <w:b/>
          <w:szCs w:val="24"/>
          <w:u w:val="single"/>
        </w:rPr>
        <w:t>NOT</w:t>
      </w:r>
      <w:r>
        <w:rPr>
          <w:rFonts w:cs="Times New Roman"/>
          <w:szCs w:val="24"/>
          <w:u w:val="single"/>
        </w:rPr>
        <w:t xml:space="preserve"> trigger the inadmissibility determination?</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The regulation excludes the following from public charge concerns:</w:t>
      </w:r>
    </w:p>
    <w:p w:rsidR="001E7C43" w:rsidRDefault="001E7C43" w:rsidP="001E7C43">
      <w:pPr>
        <w:ind w:left="720"/>
        <w:rPr>
          <w:rFonts w:cs="Times New Roman"/>
          <w:szCs w:val="24"/>
        </w:rPr>
      </w:pPr>
      <w:r>
        <w:rPr>
          <w:rFonts w:cs="Times New Roman"/>
          <w:szCs w:val="24"/>
        </w:rPr>
        <w:t>•</w:t>
      </w:r>
      <w:r>
        <w:rPr>
          <w:rFonts w:cs="Times New Roman"/>
          <w:szCs w:val="24"/>
        </w:rPr>
        <w:tab/>
        <w:t xml:space="preserve">Emergency medical assistance </w:t>
      </w:r>
    </w:p>
    <w:p w:rsidR="001E7C43" w:rsidRDefault="001E7C43" w:rsidP="001E7C43">
      <w:pPr>
        <w:ind w:left="720"/>
        <w:rPr>
          <w:rFonts w:cs="Times New Roman"/>
          <w:szCs w:val="24"/>
        </w:rPr>
      </w:pPr>
      <w:r>
        <w:rPr>
          <w:rFonts w:cs="Times New Roman"/>
          <w:szCs w:val="24"/>
        </w:rPr>
        <w:t>•</w:t>
      </w:r>
      <w:r>
        <w:rPr>
          <w:rFonts w:cs="Times New Roman"/>
          <w:szCs w:val="24"/>
        </w:rPr>
        <w:tab/>
        <w:t xml:space="preserve">Disaster relief </w:t>
      </w:r>
    </w:p>
    <w:p w:rsidR="001E7C43" w:rsidRDefault="001E7C43" w:rsidP="001E7C43">
      <w:pPr>
        <w:ind w:left="720"/>
        <w:rPr>
          <w:rFonts w:cs="Times New Roman"/>
          <w:szCs w:val="24"/>
        </w:rPr>
      </w:pPr>
      <w:r>
        <w:rPr>
          <w:rFonts w:cs="Times New Roman"/>
          <w:szCs w:val="24"/>
        </w:rPr>
        <w:t>•</w:t>
      </w:r>
      <w:r>
        <w:rPr>
          <w:rFonts w:cs="Times New Roman"/>
          <w:szCs w:val="24"/>
        </w:rPr>
        <w:tab/>
      </w:r>
      <w:proofErr w:type="gramStart"/>
      <w:r>
        <w:rPr>
          <w:rFonts w:cs="Times New Roman"/>
          <w:szCs w:val="24"/>
        </w:rPr>
        <w:t>School  lunch</w:t>
      </w:r>
      <w:proofErr w:type="gramEnd"/>
      <w:r>
        <w:rPr>
          <w:rFonts w:cs="Times New Roman"/>
          <w:szCs w:val="24"/>
        </w:rPr>
        <w:t xml:space="preserve"> programs</w:t>
      </w:r>
    </w:p>
    <w:p w:rsidR="001E7C43" w:rsidRDefault="001E7C43" w:rsidP="001E7C43">
      <w:pPr>
        <w:ind w:left="720"/>
        <w:rPr>
          <w:rFonts w:cs="Times New Roman"/>
          <w:szCs w:val="24"/>
        </w:rPr>
      </w:pPr>
      <w:r>
        <w:rPr>
          <w:rFonts w:cs="Times New Roman"/>
          <w:szCs w:val="24"/>
        </w:rPr>
        <w:t>•</w:t>
      </w:r>
      <w:r>
        <w:rPr>
          <w:rFonts w:cs="Times New Roman"/>
          <w:szCs w:val="24"/>
        </w:rPr>
        <w:tab/>
        <w:t xml:space="preserve">Foster care and adoption </w:t>
      </w:r>
    </w:p>
    <w:p w:rsidR="001E7C43" w:rsidRDefault="001E7C43" w:rsidP="001E7C43">
      <w:pPr>
        <w:ind w:left="720"/>
        <w:rPr>
          <w:rFonts w:cs="Times New Roman"/>
          <w:szCs w:val="24"/>
        </w:rPr>
      </w:pPr>
      <w:r>
        <w:rPr>
          <w:rFonts w:cs="Times New Roman"/>
          <w:szCs w:val="24"/>
        </w:rPr>
        <w:t>•</w:t>
      </w:r>
      <w:r>
        <w:rPr>
          <w:rFonts w:cs="Times New Roman"/>
          <w:szCs w:val="24"/>
        </w:rPr>
        <w:tab/>
        <w:t xml:space="preserve">Student and mortgage loans </w:t>
      </w:r>
    </w:p>
    <w:p w:rsidR="001E7C43" w:rsidRDefault="001E7C43" w:rsidP="001E7C43">
      <w:pPr>
        <w:ind w:left="720"/>
        <w:rPr>
          <w:rFonts w:cs="Times New Roman"/>
          <w:szCs w:val="24"/>
        </w:rPr>
      </w:pPr>
      <w:r>
        <w:rPr>
          <w:rFonts w:cs="Times New Roman"/>
          <w:szCs w:val="24"/>
        </w:rPr>
        <w:t>•</w:t>
      </w:r>
      <w:r>
        <w:rPr>
          <w:rFonts w:cs="Times New Roman"/>
          <w:szCs w:val="24"/>
        </w:rPr>
        <w:tab/>
        <w:t xml:space="preserve">Energy assistance </w:t>
      </w:r>
    </w:p>
    <w:p w:rsidR="001E7C43" w:rsidRDefault="001E7C43" w:rsidP="001E7C43">
      <w:pPr>
        <w:ind w:left="720"/>
        <w:rPr>
          <w:rFonts w:cs="Times New Roman"/>
          <w:szCs w:val="24"/>
        </w:rPr>
      </w:pPr>
      <w:r>
        <w:rPr>
          <w:rFonts w:cs="Times New Roman"/>
          <w:szCs w:val="24"/>
        </w:rPr>
        <w:t>•</w:t>
      </w:r>
      <w:r>
        <w:rPr>
          <w:rFonts w:cs="Times New Roman"/>
          <w:szCs w:val="24"/>
        </w:rPr>
        <w:tab/>
        <w:t xml:space="preserve">Food pantries and homeless shelters; and </w:t>
      </w:r>
    </w:p>
    <w:p w:rsidR="001E7C43" w:rsidRDefault="001E7C43" w:rsidP="001E7C43">
      <w:pPr>
        <w:ind w:left="720"/>
        <w:rPr>
          <w:rFonts w:cs="Times New Roman"/>
          <w:szCs w:val="24"/>
        </w:rPr>
      </w:pPr>
      <w:r>
        <w:rPr>
          <w:rFonts w:cs="Times New Roman"/>
          <w:szCs w:val="24"/>
        </w:rPr>
        <w:t>•</w:t>
      </w:r>
      <w:r>
        <w:rPr>
          <w:rFonts w:cs="Times New Roman"/>
          <w:szCs w:val="24"/>
        </w:rPr>
        <w:tab/>
        <w:t>Head Start</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 xml:space="preserve">The rule also </w:t>
      </w:r>
      <w:r>
        <w:rPr>
          <w:rFonts w:cs="Times New Roman"/>
          <w:b/>
          <w:szCs w:val="24"/>
        </w:rPr>
        <w:t>specifically exempts the following</w:t>
      </w:r>
      <w:r>
        <w:rPr>
          <w:rFonts w:cs="Times New Roman"/>
          <w:szCs w:val="24"/>
        </w:rPr>
        <w:t xml:space="preserve"> from being included as part of a public charge determination:</w:t>
      </w:r>
      <w:r>
        <w:rPr>
          <w:rFonts w:cs="Times New Roman"/>
          <w:szCs w:val="24"/>
          <w:vertAlign w:val="superscript"/>
        </w:rPr>
        <w:footnoteReference w:id="9"/>
      </w:r>
      <w:r>
        <w:rPr>
          <w:rFonts w:cs="Times New Roman"/>
          <w:szCs w:val="24"/>
        </w:rPr>
        <w:t xml:space="preserve"> </w:t>
      </w:r>
    </w:p>
    <w:p w:rsidR="001E7C43" w:rsidRDefault="001E7C43" w:rsidP="001E7C43">
      <w:pPr>
        <w:ind w:left="1440" w:hanging="720"/>
        <w:rPr>
          <w:rFonts w:cs="Times New Roman"/>
          <w:szCs w:val="24"/>
        </w:rPr>
      </w:pPr>
      <w:r>
        <w:rPr>
          <w:rFonts w:cs="Times New Roman"/>
          <w:szCs w:val="24"/>
        </w:rPr>
        <w:t>•</w:t>
      </w:r>
      <w:r>
        <w:rPr>
          <w:rFonts w:cs="Times New Roman"/>
          <w:szCs w:val="24"/>
        </w:rPr>
        <w:tab/>
        <w:t xml:space="preserve">Public benefits received by noncitizen members of the U.S. armed forces serving in active duty or in any of the Ready Reserve components, and by the service member’s spouse and/or children; </w:t>
      </w:r>
    </w:p>
    <w:p w:rsidR="001E7C43" w:rsidRDefault="001E7C43" w:rsidP="001E7C43">
      <w:pPr>
        <w:ind w:left="1440" w:hanging="720"/>
        <w:rPr>
          <w:rFonts w:cs="Times New Roman"/>
          <w:szCs w:val="24"/>
        </w:rPr>
      </w:pPr>
      <w:r>
        <w:rPr>
          <w:rFonts w:cs="Times New Roman"/>
          <w:szCs w:val="24"/>
        </w:rPr>
        <w:t>•</w:t>
      </w:r>
      <w:r>
        <w:rPr>
          <w:rFonts w:cs="Times New Roman"/>
          <w:szCs w:val="24"/>
        </w:rPr>
        <w:tab/>
        <w:t xml:space="preserve">Medicaid for an emergency medical condition;  </w:t>
      </w:r>
    </w:p>
    <w:p w:rsidR="001E7C43" w:rsidRDefault="001E7C43" w:rsidP="001E7C43">
      <w:pPr>
        <w:ind w:left="1440" w:hanging="720"/>
        <w:rPr>
          <w:rFonts w:cs="Times New Roman"/>
          <w:szCs w:val="24"/>
        </w:rPr>
      </w:pPr>
      <w:r>
        <w:rPr>
          <w:rFonts w:cs="Times New Roman"/>
          <w:szCs w:val="24"/>
        </w:rPr>
        <w:t>•</w:t>
      </w:r>
      <w:r>
        <w:rPr>
          <w:rFonts w:cs="Times New Roman"/>
          <w:szCs w:val="24"/>
        </w:rPr>
        <w:tab/>
        <w:t xml:space="preserve">Services or benefits funded by Medicaid but provided under the Individuals with Disabilities Education Act;  </w:t>
      </w:r>
    </w:p>
    <w:p w:rsidR="001E7C43" w:rsidRDefault="001E7C43" w:rsidP="001E7C43">
      <w:pPr>
        <w:ind w:left="1440" w:hanging="720"/>
        <w:rPr>
          <w:rFonts w:cs="Times New Roman"/>
          <w:szCs w:val="24"/>
        </w:rPr>
      </w:pPr>
      <w:r>
        <w:rPr>
          <w:rFonts w:cs="Times New Roman"/>
          <w:szCs w:val="24"/>
        </w:rPr>
        <w:t>•</w:t>
      </w:r>
      <w:r>
        <w:rPr>
          <w:rFonts w:cs="Times New Roman"/>
          <w:szCs w:val="24"/>
        </w:rPr>
        <w:tab/>
        <w:t xml:space="preserve">School-based services or benefits provided to individuals who are at or below the oldest age eligible for secondary education as determined under state or local law;  </w:t>
      </w:r>
    </w:p>
    <w:p w:rsidR="001E7C43" w:rsidRDefault="001E7C43" w:rsidP="001E7C43">
      <w:pPr>
        <w:ind w:left="1440" w:hanging="720"/>
        <w:rPr>
          <w:rFonts w:cs="Times New Roman"/>
          <w:szCs w:val="24"/>
        </w:rPr>
      </w:pPr>
      <w:r>
        <w:rPr>
          <w:rFonts w:cs="Times New Roman"/>
          <w:szCs w:val="24"/>
        </w:rPr>
        <w:t>•</w:t>
      </w:r>
      <w:r>
        <w:rPr>
          <w:rFonts w:cs="Times New Roman"/>
          <w:szCs w:val="24"/>
        </w:rPr>
        <w:tab/>
        <w:t xml:space="preserve">Medicaid benefits received by a foreign national under 21 years old; or </w:t>
      </w:r>
    </w:p>
    <w:p w:rsidR="001E7C43" w:rsidRDefault="001E7C43" w:rsidP="001E7C43">
      <w:pPr>
        <w:ind w:left="1440" w:hanging="720"/>
        <w:rPr>
          <w:rFonts w:cs="Times New Roman"/>
          <w:szCs w:val="24"/>
        </w:rPr>
      </w:pPr>
      <w:r>
        <w:rPr>
          <w:rFonts w:cs="Times New Roman"/>
          <w:szCs w:val="24"/>
        </w:rPr>
        <w:t>•</w:t>
      </w:r>
      <w:r>
        <w:rPr>
          <w:rFonts w:cs="Times New Roman"/>
          <w:szCs w:val="24"/>
        </w:rPr>
        <w:tab/>
        <w:t xml:space="preserve">Medicaid benefits received by a woman during pregnancy and for 60 days after giving birth.   </w:t>
      </w:r>
    </w:p>
    <w:p w:rsidR="001E7C43" w:rsidRDefault="001E7C43" w:rsidP="001E7C43">
      <w:pPr>
        <w:rPr>
          <w:rFonts w:cs="Times New Roman"/>
          <w:szCs w:val="24"/>
        </w:rPr>
      </w:pPr>
    </w:p>
    <w:p w:rsidR="001E7C43" w:rsidRDefault="001E7C43" w:rsidP="001E7C43">
      <w:pPr>
        <w:rPr>
          <w:rFonts w:cs="Times New Roman"/>
          <w:szCs w:val="24"/>
        </w:rPr>
      </w:pPr>
      <w:r>
        <w:rPr>
          <w:rFonts w:cs="Times New Roman"/>
          <w:szCs w:val="24"/>
        </w:rPr>
        <w:t>VI.</w:t>
      </w:r>
      <w:r>
        <w:rPr>
          <w:rFonts w:cs="Times New Roman"/>
          <w:szCs w:val="24"/>
        </w:rPr>
        <w:tab/>
      </w:r>
      <w:r>
        <w:rPr>
          <w:rFonts w:cs="Times New Roman"/>
          <w:szCs w:val="24"/>
          <w:u w:val="single"/>
        </w:rPr>
        <w:t>What are the takeaways?</w:t>
      </w:r>
    </w:p>
    <w:p w:rsidR="001E7C43" w:rsidRDefault="001E7C43" w:rsidP="001E7C43">
      <w:pPr>
        <w:rPr>
          <w:rFonts w:cs="Times New Roman"/>
          <w:szCs w:val="24"/>
        </w:rPr>
      </w:pPr>
    </w:p>
    <w:p w:rsidR="001E7C43" w:rsidRDefault="001E7C43" w:rsidP="001E7C43">
      <w:pPr>
        <w:numPr>
          <w:ilvl w:val="0"/>
          <w:numId w:val="6"/>
        </w:numPr>
        <w:rPr>
          <w:rFonts w:cs="Times New Roman"/>
          <w:szCs w:val="24"/>
        </w:rPr>
      </w:pPr>
      <w:r>
        <w:rPr>
          <w:rFonts w:cs="Times New Roman"/>
          <w:szCs w:val="24"/>
        </w:rPr>
        <w:t xml:space="preserve">When applying the public charge rule, USCIS can only look back three years. The look-back period does </w:t>
      </w:r>
      <w:r>
        <w:rPr>
          <w:rFonts w:cs="Times New Roman"/>
          <w:szCs w:val="24"/>
          <w:u w:val="single"/>
        </w:rPr>
        <w:t>not</w:t>
      </w:r>
      <w:r>
        <w:rPr>
          <w:rFonts w:cs="Times New Roman"/>
          <w:szCs w:val="24"/>
        </w:rPr>
        <w:t xml:space="preserve"> cover the period of time in a status other than the one to be extended or the one to be changed.</w:t>
      </w:r>
      <w:r>
        <w:rPr>
          <w:rFonts w:cs="Times New Roman"/>
          <w:szCs w:val="24"/>
        </w:rPr>
        <w:br/>
      </w:r>
    </w:p>
    <w:p w:rsidR="001E7C43" w:rsidRDefault="001E7C43" w:rsidP="001E7C43">
      <w:pPr>
        <w:numPr>
          <w:ilvl w:val="0"/>
          <w:numId w:val="6"/>
        </w:numPr>
        <w:rPr>
          <w:rFonts w:cs="Times New Roman"/>
          <w:szCs w:val="24"/>
        </w:rPr>
      </w:pPr>
      <w:r>
        <w:rPr>
          <w:rFonts w:cs="Times New Roman"/>
          <w:szCs w:val="24"/>
        </w:rPr>
        <w:t xml:space="preserve">Only those benefits listed in the rule will be considered for public charge purposes. </w:t>
      </w:r>
      <w:r>
        <w:rPr>
          <w:rFonts w:cs="Times New Roman"/>
          <w:szCs w:val="24"/>
        </w:rPr>
        <w:br/>
      </w:r>
    </w:p>
    <w:p w:rsidR="001E7C43" w:rsidRDefault="001E7C43" w:rsidP="001E7C43">
      <w:pPr>
        <w:numPr>
          <w:ilvl w:val="0"/>
          <w:numId w:val="6"/>
        </w:numPr>
        <w:rPr>
          <w:rFonts w:cs="Times New Roman"/>
          <w:szCs w:val="24"/>
        </w:rPr>
      </w:pPr>
      <w:r>
        <w:rPr>
          <w:rFonts w:cs="Times New Roman"/>
          <w:szCs w:val="24"/>
        </w:rPr>
        <w:t>Pell grants and other student aid programs are education-based programs, not public benefits programs, meaning these are not considered for public charge purposes.</w:t>
      </w:r>
      <w:r>
        <w:rPr>
          <w:rFonts w:cs="Times New Roman"/>
          <w:szCs w:val="24"/>
        </w:rPr>
        <w:br/>
      </w:r>
    </w:p>
    <w:p w:rsidR="001E7C43" w:rsidRDefault="001E7C43" w:rsidP="001E7C43">
      <w:pPr>
        <w:numPr>
          <w:ilvl w:val="0"/>
          <w:numId w:val="6"/>
        </w:numPr>
        <w:rPr>
          <w:rFonts w:cs="Times New Roman"/>
          <w:szCs w:val="24"/>
        </w:rPr>
      </w:pPr>
      <w:r>
        <w:rPr>
          <w:rFonts w:cs="Times New Roman"/>
          <w:szCs w:val="24"/>
        </w:rPr>
        <w:t xml:space="preserve">Do not let inaccurate and incomplete reporting in the news and other media mislead you into forgoing public benefits programs that will </w:t>
      </w:r>
      <w:r>
        <w:rPr>
          <w:rFonts w:cs="Times New Roman"/>
          <w:szCs w:val="24"/>
          <w:u w:val="single"/>
        </w:rPr>
        <w:t>not</w:t>
      </w:r>
      <w:r>
        <w:rPr>
          <w:rFonts w:cs="Times New Roman"/>
          <w:szCs w:val="24"/>
        </w:rPr>
        <w:t xml:space="preserve"> trigger a public charge </w:t>
      </w:r>
      <w:r>
        <w:rPr>
          <w:rFonts w:cs="Times New Roman"/>
          <w:szCs w:val="24"/>
        </w:rPr>
        <w:lastRenderedPageBreak/>
        <w:t>determination.</w:t>
      </w:r>
      <w:r>
        <w:rPr>
          <w:rFonts w:cs="Times New Roman"/>
          <w:szCs w:val="24"/>
          <w:vertAlign w:val="superscript"/>
        </w:rPr>
        <w:footnoteReference w:id="10"/>
      </w:r>
      <w:r>
        <w:rPr>
          <w:rFonts w:cs="Times New Roman"/>
          <w:szCs w:val="24"/>
        </w:rPr>
        <w:t xml:space="preserve">  </w:t>
      </w:r>
      <w:r>
        <w:rPr>
          <w:rFonts w:cs="Times New Roman"/>
          <w:szCs w:val="24"/>
        </w:rPr>
        <w:br/>
      </w:r>
    </w:p>
    <w:p w:rsidR="001E7C43" w:rsidRDefault="001E7C43" w:rsidP="001E7C43">
      <w:pPr>
        <w:numPr>
          <w:ilvl w:val="0"/>
          <w:numId w:val="6"/>
        </w:numPr>
        <w:rPr>
          <w:rFonts w:cs="Times New Roman"/>
          <w:szCs w:val="24"/>
        </w:rPr>
      </w:pPr>
      <w:r>
        <w:rPr>
          <w:rFonts w:cs="Times New Roman"/>
          <w:szCs w:val="24"/>
        </w:rPr>
        <w:t>When in doubt, seek out professional legal advice from an immigration lawyer or professionals in community-based organizations or government offices.</w:t>
      </w:r>
      <w:r>
        <w:rPr>
          <w:rFonts w:cs="Times New Roman"/>
          <w:szCs w:val="24"/>
          <w:vertAlign w:val="superscript"/>
        </w:rPr>
        <w:footnoteReference w:id="11"/>
      </w:r>
      <w:r>
        <w:rPr>
          <w:rFonts w:cs="Times New Roman"/>
          <w:szCs w:val="24"/>
        </w:rPr>
        <w:t xml:space="preserve"> Your university’s International Services Office should be able to provide free insights into your options and help you make informed decisions.</w:t>
      </w:r>
    </w:p>
    <w:p w:rsidR="001E7C43" w:rsidRDefault="001E7C43" w:rsidP="001E7C43">
      <w:pPr>
        <w:rPr>
          <w:rFonts w:cs="Times New Roman"/>
          <w:szCs w:val="24"/>
        </w:rPr>
      </w:pPr>
    </w:p>
    <w:p w:rsidR="001E7C43" w:rsidRDefault="001E7C43" w:rsidP="001E7C43">
      <w:pPr>
        <w:rPr>
          <w:rFonts w:cs="Times New Roman"/>
          <w:szCs w:val="24"/>
        </w:rPr>
      </w:pPr>
      <w:r>
        <w:rPr>
          <w:rFonts w:cs="Times New Roman"/>
          <w:b/>
          <w:szCs w:val="24"/>
        </w:rPr>
        <w:t xml:space="preserve">Looking forward to permanent residence, F-1s should consider </w:t>
      </w:r>
      <w:proofErr w:type="gramStart"/>
      <w:r>
        <w:rPr>
          <w:rFonts w:cs="Times New Roman"/>
          <w:b/>
          <w:szCs w:val="24"/>
        </w:rPr>
        <w:t xml:space="preserve">maintaining  </w:t>
      </w:r>
      <w:r>
        <w:rPr>
          <w:rFonts w:cs="Times New Roman"/>
          <w:b/>
          <w:szCs w:val="24"/>
          <w:highlight w:val="white"/>
        </w:rPr>
        <w:t>health</w:t>
      </w:r>
      <w:proofErr w:type="gramEnd"/>
      <w:r>
        <w:rPr>
          <w:rFonts w:cs="Times New Roman"/>
          <w:b/>
          <w:szCs w:val="24"/>
          <w:highlight w:val="white"/>
        </w:rPr>
        <w:t xml:space="preserve"> insurance for the entire time in the U.S</w:t>
      </w:r>
      <w:r>
        <w:rPr>
          <w:rFonts w:cs="Times New Roman"/>
          <w:szCs w:val="24"/>
          <w:highlight w:val="white"/>
        </w:rPr>
        <w:t xml:space="preserve">.  Most schools will offer student health insurance, but after graduation this may mean buying private health insurance (full price, no affordable care subsidies). The recent Presidential </w:t>
      </w:r>
      <w:hyperlink r:id="rId19" w:history="1">
        <w:r>
          <w:rPr>
            <w:rStyle w:val="Hyperlink"/>
            <w:rFonts w:cs="Times New Roman"/>
            <w:szCs w:val="24"/>
            <w:highlight w:val="white"/>
          </w:rPr>
          <w:t>Procl</w:t>
        </w:r>
        <w:bookmarkStart w:id="0" w:name="_GoBack"/>
        <w:bookmarkEnd w:id="0"/>
        <w:r>
          <w:rPr>
            <w:rStyle w:val="Hyperlink"/>
            <w:rFonts w:cs="Times New Roman"/>
            <w:szCs w:val="24"/>
            <w:highlight w:val="white"/>
          </w:rPr>
          <w:t>amation</w:t>
        </w:r>
      </w:hyperlink>
      <w:r>
        <w:rPr>
          <w:rFonts w:cs="Times New Roman"/>
          <w:szCs w:val="24"/>
          <w:highlight w:val="white"/>
        </w:rPr>
        <w:t xml:space="preserve"> on health insurance requirements for consular-processed green card applicants highlights the increased focus on health insurance as a major public charge issue.</w:t>
      </w:r>
      <w:r>
        <w:rPr>
          <w:rFonts w:cs="Times New Roman"/>
          <w:szCs w:val="24"/>
          <w:highlight w:val="white"/>
          <w:vertAlign w:val="superscript"/>
        </w:rPr>
        <w:footnoteReference w:id="12"/>
      </w:r>
      <w:r>
        <w:rPr>
          <w:rFonts w:cs="Times New Roman"/>
          <w:szCs w:val="24"/>
          <w:highlight w:val="white"/>
        </w:rPr>
        <w:t xml:space="preserve"> Moreover, any use of public benefits may be a factor in whether you are likely to become a public charge in the future.</w:t>
      </w:r>
    </w:p>
    <w:p w:rsidR="00655DAD" w:rsidRPr="00E238B0" w:rsidRDefault="00655DAD" w:rsidP="00CB5A9A">
      <w:pPr>
        <w:rPr>
          <w:rFonts w:asciiTheme="minorHAnsi" w:hAnsiTheme="minorHAnsi"/>
          <w:sz w:val="22"/>
        </w:rPr>
      </w:pPr>
    </w:p>
    <w:p w:rsidR="00E238B0" w:rsidRPr="00E238B0" w:rsidRDefault="00E238B0" w:rsidP="00CB5A9A">
      <w:pPr>
        <w:rPr>
          <w:rFonts w:cs="Times New Roman"/>
          <w:sz w:val="22"/>
        </w:rPr>
      </w:pPr>
    </w:p>
    <w:p w:rsidR="00E238B0" w:rsidRPr="00E238B0" w:rsidRDefault="00E238B0" w:rsidP="00E238B0">
      <w:pPr>
        <w:rPr>
          <w:rFonts w:cs="Times New Roman"/>
          <w:sz w:val="22"/>
          <w:lang w:val="en"/>
        </w:rPr>
      </w:pPr>
    </w:p>
    <w:p w:rsidR="009B5F02" w:rsidRDefault="009B5F02" w:rsidP="00E238B0">
      <w:pPr>
        <w:rPr>
          <w:rFonts w:cs="Times New Roman"/>
          <w:sz w:val="22"/>
          <w:lang w:val="en"/>
        </w:rPr>
      </w:pPr>
    </w:p>
    <w:p w:rsidR="009B5F02" w:rsidRPr="00E238B0" w:rsidRDefault="009B5F02" w:rsidP="00E238B0">
      <w:pPr>
        <w:rPr>
          <w:rFonts w:cs="Times New Roman"/>
          <w:sz w:val="22"/>
        </w:rPr>
      </w:pPr>
    </w:p>
    <w:sectPr w:rsidR="009B5F02" w:rsidRPr="00E238B0" w:rsidSect="00D076E8">
      <w:headerReference w:type="even" r:id="rId20"/>
      <w:headerReference w:type="default" r:id="rId21"/>
      <w:footerReference w:type="even" r:id="rId22"/>
      <w:footerReference w:type="default" r:id="rId23"/>
      <w:headerReference w:type="first" r:id="rId24"/>
      <w:footerReference w:type="first" r:id="rId25"/>
      <w:pgSz w:w="12240" w:h="15840"/>
      <w:pgMar w:top="1435" w:right="1440" w:bottom="1440" w:left="1440" w:header="0" w:footer="6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0E" w:rsidRDefault="00BD190E" w:rsidP="00293942">
      <w:r>
        <w:separator/>
      </w:r>
    </w:p>
  </w:endnote>
  <w:endnote w:type="continuationSeparator" w:id="0">
    <w:p w:rsidR="00BD190E" w:rsidRDefault="00BD190E" w:rsidP="0029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_sans_pro_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B" w:rsidRDefault="004F6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3F" w:rsidRPr="00655DAD" w:rsidRDefault="005116D2" w:rsidP="00BC383F">
    <w:pPr>
      <w:pStyle w:val="Footer"/>
      <w:jc w:val="center"/>
      <w:rPr>
        <w:rFonts w:ascii="Source Sans Pro" w:hAnsi="Source Sans Pro"/>
        <w:noProof/>
        <w:szCs w:val="24"/>
      </w:rPr>
    </w:pPr>
    <w:r>
      <w:rPr>
        <w:noProof/>
      </w:rPr>
      <w:drawing>
        <wp:anchor distT="0" distB="0" distL="114300" distR="114300" simplePos="0" relativeHeight="251685888" behindDoc="1" locked="0" layoutInCell="1" allowOverlap="1" wp14:anchorId="6262F577" wp14:editId="096FC979">
          <wp:simplePos x="0" y="0"/>
          <wp:positionH relativeFrom="column">
            <wp:posOffset>-933450</wp:posOffset>
          </wp:positionH>
          <wp:positionV relativeFrom="paragraph">
            <wp:posOffset>131445</wp:posOffset>
          </wp:positionV>
          <wp:extent cx="7874635" cy="676275"/>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ooterv3.jpg"/>
                  <pic:cNvPicPr/>
                </pic:nvPicPr>
                <pic:blipFill>
                  <a:blip r:embed="rId1">
                    <a:extLst>
                      <a:ext uri="{28A0092B-C50C-407E-A947-70E740481C1C}">
                        <a14:useLocalDpi xmlns:a14="http://schemas.microsoft.com/office/drawing/2010/main" val="0"/>
                      </a:ext>
                    </a:extLst>
                  </a:blip>
                  <a:stretch>
                    <a:fillRect/>
                  </a:stretch>
                </pic:blipFill>
                <pic:spPr>
                  <a:xfrm>
                    <a:off x="0" y="0"/>
                    <a:ext cx="7874635" cy="676275"/>
                  </a:xfrm>
                  <a:prstGeom prst="rect">
                    <a:avLst/>
                  </a:prstGeom>
                </pic:spPr>
              </pic:pic>
            </a:graphicData>
          </a:graphic>
          <wp14:sizeRelH relativeFrom="margin">
            <wp14:pctWidth>0</wp14:pctWidth>
          </wp14:sizeRelH>
          <wp14:sizeRelV relativeFrom="margin">
            <wp14:pctHeight>0</wp14:pctHeight>
          </wp14:sizeRelV>
        </wp:anchor>
      </w:drawing>
    </w:r>
  </w:p>
  <w:p w:rsidR="005116D2" w:rsidRDefault="005116D2" w:rsidP="00BC38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E8" w:rsidRPr="00E47545" w:rsidRDefault="00E47545" w:rsidP="00E47545">
    <w:pPr>
      <w:pStyle w:val="Footer"/>
    </w:pPr>
    <w:r>
      <w:rPr>
        <w:noProof/>
      </w:rPr>
      <w:drawing>
        <wp:anchor distT="0" distB="0" distL="114300" distR="114300" simplePos="0" relativeHeight="251683840" behindDoc="1" locked="0" layoutInCell="1" allowOverlap="1" wp14:anchorId="1BCDF0B1" wp14:editId="46977D8F">
          <wp:simplePos x="0" y="0"/>
          <wp:positionH relativeFrom="column">
            <wp:posOffset>-914400</wp:posOffset>
          </wp:positionH>
          <wp:positionV relativeFrom="paragraph">
            <wp:posOffset>-43815</wp:posOffset>
          </wp:positionV>
          <wp:extent cx="7874951" cy="67627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ooterv3.jpg"/>
                  <pic:cNvPicPr/>
                </pic:nvPicPr>
                <pic:blipFill>
                  <a:blip r:embed="rId1">
                    <a:extLst>
                      <a:ext uri="{28A0092B-C50C-407E-A947-70E740481C1C}">
                        <a14:useLocalDpi xmlns:a14="http://schemas.microsoft.com/office/drawing/2010/main" val="0"/>
                      </a:ext>
                    </a:extLst>
                  </a:blip>
                  <a:stretch>
                    <a:fillRect/>
                  </a:stretch>
                </pic:blipFill>
                <pic:spPr>
                  <a:xfrm>
                    <a:off x="0" y="0"/>
                    <a:ext cx="7871256" cy="6759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0E" w:rsidRDefault="00BD190E" w:rsidP="00293942">
      <w:r>
        <w:separator/>
      </w:r>
    </w:p>
  </w:footnote>
  <w:footnote w:type="continuationSeparator" w:id="0">
    <w:p w:rsidR="00BD190E" w:rsidRDefault="00BD190E" w:rsidP="00293942">
      <w:r>
        <w:continuationSeparator/>
      </w:r>
    </w:p>
  </w:footnote>
  <w:footnote w:id="1">
    <w:p w:rsidR="001E7C43" w:rsidRDefault="001E7C43" w:rsidP="001E7C43">
      <w:pPr>
        <w:rPr>
          <w:rFonts w:cs="Times New Roman"/>
          <w:sz w:val="20"/>
          <w:szCs w:val="20"/>
        </w:rPr>
      </w:pPr>
      <w:r>
        <w:rPr>
          <w:rFonts w:cs="Times New Roman"/>
          <w:sz w:val="20"/>
          <w:szCs w:val="20"/>
          <w:vertAlign w:val="superscript"/>
        </w:rPr>
        <w:footnoteRef/>
      </w:r>
      <w:r>
        <w:rPr>
          <w:rFonts w:cs="Times New Roman"/>
          <w:sz w:val="20"/>
          <w:szCs w:val="20"/>
        </w:rPr>
        <w:t xml:space="preserve"> The American Immigration Lawyers Association has put together an excellent Practice Advisory on public charge for temporary visas. Practice Pointer: Requests for Change or Extension of Nonimmigrant Status Are Subject to Heightened Scrutiny Under DHS’s Public Charge Final Rule, AILA Doc. No. 19100305 (Oct. 3, 2019).  NAFSA also has an excellent webpage that addresses the difference between public charge analysis for temporary status and permanent residence. </w:t>
      </w:r>
      <w:r>
        <w:rPr>
          <w:rFonts w:cs="Times New Roman"/>
          <w:color w:val="222222"/>
          <w:sz w:val="20"/>
          <w:szCs w:val="20"/>
          <w:highlight w:val="white"/>
        </w:rPr>
        <w:t xml:space="preserve"> </w:t>
      </w:r>
      <w:hyperlink r:id="rId1" w:history="1">
        <w:r>
          <w:rPr>
            <w:rStyle w:val="Hyperlink"/>
            <w:rFonts w:cs="Times New Roman"/>
            <w:color w:val="1155CC"/>
            <w:sz w:val="20"/>
            <w:szCs w:val="20"/>
            <w:highlight w:val="white"/>
          </w:rPr>
          <w:t>https://www.nafsa.org/regulatory-information/dhs-final-rule-public-charge-determinations</w:t>
        </w:r>
      </w:hyperlink>
      <w:r>
        <w:rPr>
          <w:rFonts w:cs="Times New Roman"/>
          <w:sz w:val="20"/>
          <w:szCs w:val="20"/>
        </w:rPr>
        <w:t>.</w:t>
      </w:r>
    </w:p>
  </w:footnote>
  <w:footnote w:id="2">
    <w:p w:rsidR="001E7C43" w:rsidRDefault="001E7C43" w:rsidP="001E7C43">
      <w:pPr>
        <w:rPr>
          <w:rFonts w:cs="Times New Roman"/>
          <w:sz w:val="20"/>
          <w:szCs w:val="20"/>
        </w:rPr>
      </w:pPr>
      <w:r>
        <w:rPr>
          <w:rFonts w:cs="Times New Roman"/>
          <w:sz w:val="20"/>
          <w:szCs w:val="20"/>
          <w:vertAlign w:val="superscript"/>
        </w:rPr>
        <w:footnoteRef/>
      </w:r>
      <w:r>
        <w:rPr>
          <w:rFonts w:cs="Times New Roman"/>
          <w:sz w:val="20"/>
          <w:szCs w:val="20"/>
        </w:rPr>
        <w:t xml:space="preserve"> </w:t>
      </w:r>
      <w:hyperlink r:id="rId2" w:history="1">
        <w:r>
          <w:rPr>
            <w:rStyle w:val="Hyperlink"/>
            <w:rFonts w:cs="Times New Roman"/>
            <w:color w:val="1155CC"/>
            <w:sz w:val="20"/>
            <w:szCs w:val="20"/>
          </w:rPr>
          <w:t>https://www.urban.org/urban-wire/how-uncertainty-surrounding-public-charge-rule-leads-hardship-immigrant-families</w:t>
        </w:r>
      </w:hyperlink>
      <w:r>
        <w:rPr>
          <w:rFonts w:cs="Times New Roman"/>
          <w:color w:val="1155CC"/>
          <w:sz w:val="20"/>
          <w:szCs w:val="20"/>
          <w:u w:val="single"/>
        </w:rPr>
        <w:t>.</w:t>
      </w:r>
    </w:p>
  </w:footnote>
  <w:footnote w:id="3">
    <w:p w:rsidR="001E7C43" w:rsidRDefault="001E7C43" w:rsidP="001E7C43">
      <w:pPr>
        <w:rPr>
          <w:rFonts w:cs="Times New Roman"/>
          <w:sz w:val="20"/>
          <w:szCs w:val="20"/>
        </w:rPr>
      </w:pPr>
      <w:r>
        <w:rPr>
          <w:rFonts w:cs="Times New Roman"/>
          <w:sz w:val="20"/>
          <w:szCs w:val="20"/>
          <w:vertAlign w:val="superscript"/>
        </w:rPr>
        <w:footnoteRef/>
      </w:r>
      <w:r>
        <w:rPr>
          <w:rFonts w:cs="Times New Roman"/>
          <w:sz w:val="20"/>
          <w:szCs w:val="20"/>
        </w:rPr>
        <w:t xml:space="preserve"> </w:t>
      </w:r>
      <w:hyperlink r:id="rId3" w:history="1">
        <w:r>
          <w:rPr>
            <w:rStyle w:val="Hyperlink"/>
            <w:rFonts w:cs="Times New Roman"/>
            <w:color w:val="1155CC"/>
            <w:sz w:val="20"/>
            <w:szCs w:val="20"/>
          </w:rPr>
          <w:t>https://protectingimmigrantfamilies.org/wp-content/uploads/2019/08/Lets-Talk-About-Public-Charge-Updated-August-2019.pdf</w:t>
        </w:r>
      </w:hyperlink>
      <w:r>
        <w:rPr>
          <w:rFonts w:cs="Times New Roman"/>
          <w:color w:val="1155CC"/>
          <w:sz w:val="20"/>
          <w:szCs w:val="20"/>
          <w:u w:val="single"/>
        </w:rPr>
        <w:t>.</w:t>
      </w:r>
    </w:p>
  </w:footnote>
  <w:footnote w:id="4">
    <w:p w:rsidR="001E7C43" w:rsidRDefault="001E7C43" w:rsidP="001E7C43">
      <w:pPr>
        <w:rPr>
          <w:rFonts w:cs="Times New Roman"/>
          <w:color w:val="000000"/>
          <w:sz w:val="20"/>
          <w:szCs w:val="20"/>
        </w:rPr>
      </w:pPr>
      <w:r>
        <w:rPr>
          <w:rFonts w:cs="Times New Roman"/>
          <w:sz w:val="20"/>
          <w:szCs w:val="20"/>
          <w:vertAlign w:val="superscript"/>
        </w:rPr>
        <w:footnoteRef/>
      </w:r>
      <w:r>
        <w:rPr>
          <w:rFonts w:cs="Times New Roman"/>
          <w:color w:val="000000"/>
          <w:sz w:val="20"/>
          <w:szCs w:val="20"/>
        </w:rPr>
        <w:t xml:space="preserve"> </w:t>
      </w:r>
      <w:proofErr w:type="gramStart"/>
      <w:r>
        <w:rPr>
          <w:rFonts w:cs="Times New Roman"/>
          <w:color w:val="000000"/>
          <w:sz w:val="20"/>
          <w:szCs w:val="20"/>
        </w:rPr>
        <w:t>8 CFR § 212.21(c).</w:t>
      </w:r>
      <w:proofErr w:type="gramEnd"/>
    </w:p>
  </w:footnote>
  <w:footnote w:id="5">
    <w:p w:rsidR="001E7C43" w:rsidRDefault="001E7C43" w:rsidP="001E7C43">
      <w:pPr>
        <w:rPr>
          <w:rFonts w:cs="Times New Roman"/>
          <w:color w:val="000000"/>
          <w:sz w:val="20"/>
          <w:szCs w:val="20"/>
        </w:rPr>
      </w:pPr>
      <w:r>
        <w:rPr>
          <w:rFonts w:cs="Times New Roman"/>
          <w:sz w:val="20"/>
          <w:szCs w:val="20"/>
          <w:vertAlign w:val="superscript"/>
        </w:rPr>
        <w:footnoteRef/>
      </w:r>
      <w:r>
        <w:rPr>
          <w:rFonts w:cs="Times New Roman"/>
          <w:color w:val="000000"/>
          <w:sz w:val="20"/>
          <w:szCs w:val="20"/>
        </w:rPr>
        <w:t xml:space="preserve"> 8 CFR § 214.1(a</w:t>
      </w:r>
      <w:proofErr w:type="gramStart"/>
      <w:r>
        <w:rPr>
          <w:rFonts w:cs="Times New Roman"/>
          <w:color w:val="000000"/>
          <w:sz w:val="20"/>
          <w:szCs w:val="20"/>
        </w:rPr>
        <w:t>)(</w:t>
      </w:r>
      <w:proofErr w:type="gramEnd"/>
      <w:r>
        <w:rPr>
          <w:rFonts w:cs="Times New Roman"/>
          <w:color w:val="000000"/>
          <w:sz w:val="20"/>
          <w:szCs w:val="20"/>
        </w:rPr>
        <w:t>3)(iv). The rule limits the look-back period to the status the foreign national seeks to extend.</w:t>
      </w:r>
    </w:p>
  </w:footnote>
  <w:footnote w:id="6">
    <w:p w:rsidR="001E7C43" w:rsidRDefault="001E7C43" w:rsidP="001E7C43">
      <w:pPr>
        <w:rPr>
          <w:rFonts w:cs="Times New Roman"/>
          <w:color w:val="000000"/>
          <w:sz w:val="20"/>
          <w:szCs w:val="20"/>
        </w:rPr>
      </w:pPr>
      <w:r>
        <w:rPr>
          <w:rFonts w:cs="Times New Roman"/>
          <w:sz w:val="20"/>
          <w:szCs w:val="20"/>
          <w:vertAlign w:val="superscript"/>
        </w:rPr>
        <w:footnoteRef/>
      </w:r>
      <w:r>
        <w:rPr>
          <w:rFonts w:cs="Times New Roman"/>
          <w:color w:val="000000"/>
          <w:sz w:val="20"/>
          <w:szCs w:val="20"/>
        </w:rPr>
        <w:t xml:space="preserve"> 8 CFR § 248.1(b</w:t>
      </w:r>
      <w:proofErr w:type="gramStart"/>
      <w:r>
        <w:rPr>
          <w:rFonts w:cs="Times New Roman"/>
          <w:color w:val="000000"/>
          <w:sz w:val="20"/>
          <w:szCs w:val="20"/>
        </w:rPr>
        <w:t>)(</w:t>
      </w:r>
      <w:proofErr w:type="gramEnd"/>
      <w:r>
        <w:rPr>
          <w:rFonts w:cs="Times New Roman"/>
          <w:color w:val="000000"/>
          <w:sz w:val="20"/>
          <w:szCs w:val="20"/>
        </w:rPr>
        <w:t>4). The rule limits the look-back period to the status from which the foreign national seeks to change.</w:t>
      </w:r>
    </w:p>
  </w:footnote>
  <w:footnote w:id="7">
    <w:p w:rsidR="001E7C43" w:rsidRDefault="001E7C43" w:rsidP="001E7C43">
      <w:pPr>
        <w:rPr>
          <w:rFonts w:cs="Times New Roman"/>
          <w:sz w:val="20"/>
          <w:szCs w:val="20"/>
        </w:rPr>
      </w:pPr>
      <w:r>
        <w:rPr>
          <w:rFonts w:cs="Times New Roman"/>
          <w:sz w:val="20"/>
          <w:szCs w:val="20"/>
          <w:vertAlign w:val="superscript"/>
        </w:rPr>
        <w:footnoteRef/>
      </w:r>
      <w:r>
        <w:rPr>
          <w:rFonts w:cs="Times New Roman"/>
          <w:sz w:val="20"/>
          <w:szCs w:val="20"/>
        </w:rPr>
        <w:t xml:space="preserve"> </w:t>
      </w:r>
      <w:hyperlink r:id="rId4" w:history="1">
        <w:r>
          <w:rPr>
            <w:rStyle w:val="Hyperlink"/>
            <w:rFonts w:cs="Times New Roman"/>
            <w:color w:val="1155CC"/>
            <w:sz w:val="20"/>
            <w:szCs w:val="20"/>
          </w:rPr>
          <w:t>https://protectingimmigrantfamilies.org/wp-content/uploads/2019/08/Lets-Talk-About-Public-Charge-Updated-August-2019.pdf</w:t>
        </w:r>
      </w:hyperlink>
      <w:r>
        <w:rPr>
          <w:rFonts w:cs="Times New Roman"/>
          <w:color w:val="1155CC"/>
          <w:sz w:val="20"/>
          <w:szCs w:val="20"/>
          <w:u w:val="single"/>
        </w:rPr>
        <w:t>.</w:t>
      </w:r>
    </w:p>
  </w:footnote>
  <w:footnote w:id="8">
    <w:p w:rsidR="001E7C43" w:rsidRDefault="001E7C43" w:rsidP="001E7C43">
      <w:pPr>
        <w:rPr>
          <w:rFonts w:cs="Times New Roman"/>
          <w:color w:val="000000"/>
          <w:sz w:val="20"/>
          <w:szCs w:val="20"/>
        </w:rPr>
      </w:pPr>
      <w:r>
        <w:rPr>
          <w:rFonts w:cs="Times New Roman"/>
          <w:sz w:val="20"/>
          <w:szCs w:val="20"/>
          <w:vertAlign w:val="superscript"/>
        </w:rPr>
        <w:footnoteRef/>
      </w:r>
      <w:r>
        <w:rPr>
          <w:rFonts w:cs="Times New Roman"/>
          <w:color w:val="000000"/>
          <w:sz w:val="20"/>
          <w:szCs w:val="20"/>
        </w:rPr>
        <w:t xml:space="preserve"> </w:t>
      </w:r>
      <w:proofErr w:type="gramStart"/>
      <w:r>
        <w:rPr>
          <w:rFonts w:cs="Times New Roman"/>
          <w:color w:val="000000"/>
          <w:sz w:val="20"/>
          <w:szCs w:val="20"/>
        </w:rPr>
        <w:t>84 Fed.</w:t>
      </w:r>
      <w:proofErr w:type="gramEnd"/>
      <w:r>
        <w:rPr>
          <w:rFonts w:cs="Times New Roman"/>
          <w:color w:val="000000"/>
          <w:sz w:val="20"/>
          <w:szCs w:val="20"/>
        </w:rPr>
        <w:t xml:space="preserve"> </w:t>
      </w:r>
      <w:proofErr w:type="gramStart"/>
      <w:r>
        <w:rPr>
          <w:rFonts w:cs="Times New Roman"/>
          <w:color w:val="000000"/>
          <w:sz w:val="20"/>
          <w:szCs w:val="20"/>
        </w:rPr>
        <w:t>Reg. 41391.</w:t>
      </w:r>
      <w:proofErr w:type="gramEnd"/>
    </w:p>
  </w:footnote>
  <w:footnote w:id="9">
    <w:p w:rsidR="001E7C43" w:rsidRDefault="001E7C43" w:rsidP="001E7C43">
      <w:pPr>
        <w:rPr>
          <w:rFonts w:cs="Times New Roman"/>
          <w:color w:val="000000"/>
          <w:sz w:val="20"/>
          <w:szCs w:val="20"/>
        </w:rPr>
      </w:pPr>
      <w:r>
        <w:rPr>
          <w:rFonts w:cs="Times New Roman"/>
          <w:sz w:val="20"/>
          <w:szCs w:val="20"/>
          <w:vertAlign w:val="superscript"/>
        </w:rPr>
        <w:footnoteRef/>
      </w:r>
      <w:r>
        <w:rPr>
          <w:rFonts w:cs="Times New Roman"/>
          <w:color w:val="000000"/>
          <w:sz w:val="20"/>
          <w:szCs w:val="20"/>
        </w:rPr>
        <w:t xml:space="preserve"> </w:t>
      </w:r>
      <w:proofErr w:type="gramStart"/>
      <w:r>
        <w:rPr>
          <w:rFonts w:cs="Times New Roman"/>
          <w:color w:val="000000"/>
          <w:sz w:val="20"/>
          <w:szCs w:val="20"/>
        </w:rPr>
        <w:t>8 CFR § 212.21(b).</w:t>
      </w:r>
      <w:proofErr w:type="gramEnd"/>
    </w:p>
  </w:footnote>
  <w:footnote w:id="10">
    <w:p w:rsidR="001E7C43" w:rsidRDefault="001E7C43" w:rsidP="001E7C43">
      <w:pPr>
        <w:rPr>
          <w:rFonts w:cs="Times New Roman"/>
          <w:sz w:val="20"/>
          <w:szCs w:val="20"/>
        </w:rPr>
      </w:pPr>
      <w:r>
        <w:rPr>
          <w:rFonts w:cs="Times New Roman"/>
          <w:sz w:val="20"/>
          <w:szCs w:val="20"/>
          <w:vertAlign w:val="superscript"/>
        </w:rPr>
        <w:footnoteRef/>
      </w:r>
      <w:r>
        <w:rPr>
          <w:rFonts w:cs="Times New Roman"/>
          <w:sz w:val="20"/>
          <w:szCs w:val="20"/>
        </w:rPr>
        <w:t xml:space="preserve"> </w:t>
      </w:r>
      <w:hyperlink r:id="rId5" w:history="1">
        <w:r>
          <w:rPr>
            <w:rStyle w:val="Hyperlink"/>
            <w:rFonts w:cs="Times New Roman"/>
            <w:color w:val="1155CC"/>
            <w:sz w:val="20"/>
            <w:szCs w:val="20"/>
          </w:rPr>
          <w:t>https://www.urban.org/urban-wire/how-uncertainty-surrounding-public-charge-rule-leads-hardship-immigrant-families</w:t>
        </w:r>
      </w:hyperlink>
      <w:r>
        <w:rPr>
          <w:rFonts w:cs="Times New Roman"/>
          <w:color w:val="1155CC"/>
          <w:sz w:val="20"/>
          <w:szCs w:val="20"/>
          <w:u w:val="single"/>
        </w:rPr>
        <w:t>.</w:t>
      </w:r>
    </w:p>
  </w:footnote>
  <w:footnote w:id="11">
    <w:p w:rsidR="001E7C43" w:rsidRDefault="001E7C43" w:rsidP="001E7C43">
      <w:pPr>
        <w:rPr>
          <w:rFonts w:cs="Times New Roman"/>
          <w:sz w:val="20"/>
          <w:szCs w:val="20"/>
        </w:rPr>
      </w:pPr>
      <w:r>
        <w:rPr>
          <w:rFonts w:cs="Times New Roman"/>
          <w:sz w:val="20"/>
          <w:szCs w:val="20"/>
          <w:vertAlign w:val="superscript"/>
        </w:rPr>
        <w:footnoteRef/>
      </w:r>
      <w:r>
        <w:rPr>
          <w:rFonts w:cs="Times New Roman"/>
          <w:sz w:val="20"/>
          <w:szCs w:val="20"/>
        </w:rPr>
        <w:t xml:space="preserve"> See </w:t>
      </w:r>
      <w:hyperlink r:id="rId6" w:history="1">
        <w:r>
          <w:rPr>
            <w:rStyle w:val="Hyperlink"/>
            <w:rFonts w:cs="Times New Roman"/>
            <w:color w:val="1155CC"/>
            <w:sz w:val="20"/>
            <w:szCs w:val="20"/>
          </w:rPr>
          <w:t>https://www.immigrationadvocates.org/nonprofit/legaldirectory/</w:t>
        </w:r>
      </w:hyperlink>
      <w:r>
        <w:rPr>
          <w:rFonts w:cs="Times New Roman"/>
          <w:sz w:val="20"/>
          <w:szCs w:val="20"/>
        </w:rPr>
        <w:t xml:space="preserve"> for a directory of nonprofit legal services organizations.</w:t>
      </w:r>
    </w:p>
  </w:footnote>
  <w:footnote w:id="12">
    <w:p w:rsidR="001E7C43" w:rsidRDefault="001E7C43" w:rsidP="001E7C43">
      <w:pPr>
        <w:rPr>
          <w:rFonts w:cs="Times New Roman"/>
          <w:sz w:val="20"/>
          <w:szCs w:val="20"/>
        </w:rPr>
      </w:pPr>
      <w:r>
        <w:rPr>
          <w:rFonts w:cs="Times New Roman"/>
          <w:sz w:val="20"/>
          <w:szCs w:val="20"/>
          <w:vertAlign w:val="superscript"/>
        </w:rPr>
        <w:footnoteRef/>
      </w:r>
      <w:r>
        <w:rPr>
          <w:rFonts w:cs="Times New Roman"/>
          <w:sz w:val="20"/>
          <w:szCs w:val="20"/>
        </w:rPr>
        <w:t xml:space="preserve"> </w:t>
      </w:r>
      <w:hyperlink r:id="rId7" w:history="1">
        <w:r>
          <w:rPr>
            <w:rStyle w:val="Hyperlink"/>
            <w:rFonts w:cs="Times New Roman"/>
            <w:color w:val="1155CC"/>
            <w:sz w:val="20"/>
            <w:szCs w:val="20"/>
          </w:rPr>
          <w:t>https://www.forbes.com/sites/stuartanderson/2019/10/07/trump-bars-immigrants-without-health-insurance-what-it-means/</w:t>
        </w:r>
      </w:hyperlink>
      <w:r>
        <w:rPr>
          <w:rFonts w:cs="Times New Roman"/>
          <w:sz w:val="20"/>
          <w:szCs w:val="20"/>
        </w:rPr>
        <w:t xml:space="preserve">.  See also </w:t>
      </w:r>
      <w:hyperlink r:id="rId8" w:history="1">
        <w:r>
          <w:rPr>
            <w:rStyle w:val="Hyperlink"/>
            <w:rFonts w:cs="Times New Roman"/>
            <w:color w:val="1155CC"/>
            <w:sz w:val="20"/>
            <w:szCs w:val="20"/>
            <w:highlight w:val="white"/>
          </w:rPr>
          <w:t>https://www.nafsa.org/regulatory-information/dhs-final-rule-public-charge-determinations</w:t>
        </w:r>
      </w:hyperlink>
      <w:r>
        <w:rPr>
          <w:rFonts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B" w:rsidRDefault="001E7C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9375" o:spid="_x0000_s38914" type="#_x0000_t136" style="position:absolute;margin-left:0;margin-top:0;width:527.85pt;height:131.95pt;rotation:315;z-index:-251626496;mso-position-horizontal:center;mso-position-horizontal-relative:margin;mso-position-vertical:center;mso-position-vertical-relative:margin" o:allowincell="f" fillcolor="#bfbfbf [2412]" stroked="f">
          <v:fill opacity=".5"/>
          <v:textpath style="font-family:&quot;Source Sans Pro&quot;;font-size:1pt" string="Miller Mayer, LL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D5" w:rsidRDefault="001E7C4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9376" o:spid="_x0000_s38915" type="#_x0000_t136" style="position:absolute;left:0;text-align:left;margin-left:0;margin-top:0;width:527.85pt;height:131.95pt;rotation:315;z-index:-251624448;mso-position-horizontal:center;mso-position-horizontal-relative:margin;mso-position-vertical:center;mso-position-vertical-relative:margin" o:allowincell="f" fillcolor="#bfbfbf [2412]" stroked="f">
          <v:fill opacity=".5"/>
          <v:textpath style="font-family:&quot;Source Sans Pro&quot;;font-size:1pt" string="Miller Mayer, LLP"/>
          <w10:wrap anchorx="margin" anchory="margin"/>
        </v:shape>
      </w:pict>
    </w:r>
  </w:p>
  <w:sdt>
    <w:sdtPr>
      <w:id w:val="1861625801"/>
      <w:docPartObj>
        <w:docPartGallery w:val="Page Numbers (Top of Page)"/>
        <w:docPartUnique/>
      </w:docPartObj>
    </w:sdtPr>
    <w:sdtEndPr>
      <w:rPr>
        <w:rFonts w:ascii="Source Sans Pro" w:hAnsi="Source Sans Pro"/>
        <w:noProof/>
      </w:rPr>
    </w:sdtEndPr>
    <w:sdtContent>
      <w:p w:rsidR="00F61571" w:rsidRDefault="00F61571">
        <w:pPr>
          <w:pStyle w:val="Header"/>
          <w:jc w:val="right"/>
        </w:pPr>
      </w:p>
      <w:p w:rsidR="00F61571" w:rsidRPr="00F61571" w:rsidRDefault="004F67FB">
        <w:pPr>
          <w:pStyle w:val="Header"/>
          <w:jc w:val="right"/>
          <w:rPr>
            <w:rFonts w:ascii="Source Sans Pro" w:hAnsi="Source Sans Pro"/>
          </w:rPr>
        </w:pPr>
        <w:r>
          <w:rPr>
            <w:rFonts w:ascii="Source Sans Pro" w:hAnsi="Source Sans Pro"/>
          </w:rPr>
          <w:t xml:space="preserve">     </w:t>
        </w:r>
        <w:r w:rsidR="00F61571" w:rsidRPr="00F61571">
          <w:rPr>
            <w:rFonts w:ascii="Source Sans Pro" w:hAnsi="Source Sans Pro"/>
          </w:rPr>
          <w:fldChar w:fldCharType="begin"/>
        </w:r>
        <w:r w:rsidR="00F61571" w:rsidRPr="00F61571">
          <w:rPr>
            <w:rFonts w:ascii="Source Sans Pro" w:hAnsi="Source Sans Pro"/>
          </w:rPr>
          <w:instrText xml:space="preserve"> PAGE   \* MERGEFORMAT </w:instrText>
        </w:r>
        <w:r w:rsidR="00F61571" w:rsidRPr="00F61571">
          <w:rPr>
            <w:rFonts w:ascii="Source Sans Pro" w:hAnsi="Source Sans Pro"/>
          </w:rPr>
          <w:fldChar w:fldCharType="separate"/>
        </w:r>
        <w:r w:rsidR="001E7C43">
          <w:rPr>
            <w:rFonts w:ascii="Source Sans Pro" w:hAnsi="Source Sans Pro"/>
            <w:noProof/>
          </w:rPr>
          <w:t>2</w:t>
        </w:r>
        <w:r w:rsidR="00F61571" w:rsidRPr="00F61571">
          <w:rPr>
            <w:rFonts w:ascii="Source Sans Pro" w:hAnsi="Source Sans Pro"/>
            <w:noProof/>
          </w:rPr>
          <w:fldChar w:fldCharType="end"/>
        </w:r>
      </w:p>
    </w:sdtContent>
  </w:sdt>
  <w:p w:rsidR="00BC383F" w:rsidRDefault="00F61571" w:rsidP="00F61571">
    <w:pPr>
      <w:pStyle w:val="Header"/>
    </w:pPr>
    <w:r>
      <w:rPr>
        <w:noProof/>
      </w:rPr>
      <w:drawing>
        <wp:inline distT="0" distB="0" distL="0" distR="0" wp14:anchorId="056A0103" wp14:editId="4EB585BD">
          <wp:extent cx="1981678"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mayer_logo_allblue.png"/>
                  <pic:cNvPicPr/>
                </pic:nvPicPr>
                <pic:blipFill>
                  <a:blip r:embed="rId1">
                    <a:extLst>
                      <a:ext uri="{28A0092B-C50C-407E-A947-70E740481C1C}">
                        <a14:useLocalDpi xmlns:a14="http://schemas.microsoft.com/office/drawing/2010/main" val="0"/>
                      </a:ext>
                    </a:extLst>
                  </a:blip>
                  <a:stretch>
                    <a:fillRect/>
                  </a:stretch>
                </pic:blipFill>
                <pic:spPr>
                  <a:xfrm>
                    <a:off x="0" y="0"/>
                    <a:ext cx="2008881" cy="3669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43" w:rsidRDefault="001E7C43" w:rsidP="003E3243">
    <w:pPr>
      <w:pStyle w:val="Header"/>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9374" o:spid="_x0000_s38913" type="#_x0000_t136" style="position:absolute;left:0;text-align:left;margin-left:0;margin-top:0;width:527.85pt;height:131.95pt;rotation:315;z-index:-251628544;mso-position-horizontal:center;mso-position-horizontal-relative:margin;mso-position-vertical:center;mso-position-vertical-relative:margin" o:allowincell="f" fillcolor="#bfbfbf [2412]" stroked="f">
          <v:fill opacity=".5"/>
          <v:textpath style="font-family:&quot;Source Sans Pro&quot;;font-size:1pt" string="Miller Mayer, LLP"/>
          <w10:wrap anchorx="margin" anchory="margin"/>
        </v:shape>
      </w:pict>
    </w:r>
  </w:p>
  <w:p w:rsidR="003E3243" w:rsidRDefault="003E3243" w:rsidP="003E3243">
    <w:pPr>
      <w:pStyle w:val="Header"/>
      <w:jc w:val="center"/>
      <w:rPr>
        <w:noProof/>
      </w:rPr>
    </w:pPr>
  </w:p>
  <w:p w:rsidR="00D076E8" w:rsidRDefault="00C96294" w:rsidP="003E3243">
    <w:pPr>
      <w:pStyle w:val="Header"/>
      <w:jc w:val="center"/>
    </w:pPr>
    <w:r>
      <w:rPr>
        <w:noProof/>
      </w:rPr>
      <w:drawing>
        <wp:inline distT="0" distB="0" distL="0" distR="0" wp14:anchorId="3CB81CAD" wp14:editId="7E30EFC3">
          <wp:extent cx="2938464" cy="53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mayer_logo_allblue.png"/>
                  <pic:cNvPicPr/>
                </pic:nvPicPr>
                <pic:blipFill>
                  <a:blip r:embed="rId1">
                    <a:extLst>
                      <a:ext uri="{28A0092B-C50C-407E-A947-70E740481C1C}">
                        <a14:useLocalDpi xmlns:a14="http://schemas.microsoft.com/office/drawing/2010/main" val="0"/>
                      </a:ext>
                    </a:extLst>
                  </a:blip>
                  <a:stretch>
                    <a:fillRect/>
                  </a:stretch>
                </pic:blipFill>
                <pic:spPr>
                  <a:xfrm>
                    <a:off x="0" y="0"/>
                    <a:ext cx="2960455" cy="5407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5E1"/>
    <w:multiLevelType w:val="hybridMultilevel"/>
    <w:tmpl w:val="F53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58F"/>
    <w:multiLevelType w:val="hybridMultilevel"/>
    <w:tmpl w:val="DCB23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22420"/>
    <w:multiLevelType w:val="hybridMultilevel"/>
    <w:tmpl w:val="874A94E2"/>
    <w:lvl w:ilvl="0" w:tplc="23E0C3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D7C4E"/>
    <w:multiLevelType w:val="multilevel"/>
    <w:tmpl w:val="6EF2C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7D42B9"/>
    <w:multiLevelType w:val="hybridMultilevel"/>
    <w:tmpl w:val="CB9CA794"/>
    <w:lvl w:ilvl="0" w:tplc="88104642">
      <w:numFmt w:val="bullet"/>
      <w:lvlText w:val="•"/>
      <w:lvlJc w:val="left"/>
      <w:pPr>
        <w:ind w:left="720" w:hanging="360"/>
      </w:pPr>
      <w:rPr>
        <w:rFonts w:ascii="source_sans_pro_regular" w:eastAsiaTheme="minorHAnsi" w:hAnsi="source_sans_pro_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93CDC"/>
    <w:multiLevelType w:val="multilevel"/>
    <w:tmpl w:val="2E723B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0"/>
  </w:num>
  <w:num w:numId="4">
    <w:abstractNumId w:val="1"/>
  </w:num>
  <w:num w:numId="5">
    <w:abstractNumId w:val="4"/>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42"/>
    <w:rsid w:val="00010F5E"/>
    <w:rsid w:val="000B179A"/>
    <w:rsid w:val="00165952"/>
    <w:rsid w:val="001E7C43"/>
    <w:rsid w:val="001F3809"/>
    <w:rsid w:val="00221207"/>
    <w:rsid w:val="002261FD"/>
    <w:rsid w:val="00293942"/>
    <w:rsid w:val="003E3243"/>
    <w:rsid w:val="00453AD5"/>
    <w:rsid w:val="004E06C3"/>
    <w:rsid w:val="004E2B50"/>
    <w:rsid w:val="004E5A2E"/>
    <w:rsid w:val="004F67FB"/>
    <w:rsid w:val="005116D2"/>
    <w:rsid w:val="00586FC4"/>
    <w:rsid w:val="00655DAD"/>
    <w:rsid w:val="00797FA5"/>
    <w:rsid w:val="0083279F"/>
    <w:rsid w:val="0088155C"/>
    <w:rsid w:val="009100BA"/>
    <w:rsid w:val="00935BBD"/>
    <w:rsid w:val="009B5F02"/>
    <w:rsid w:val="009E2A75"/>
    <w:rsid w:val="009F6363"/>
    <w:rsid w:val="00A14B79"/>
    <w:rsid w:val="00A274C1"/>
    <w:rsid w:val="00A76826"/>
    <w:rsid w:val="00A93D8C"/>
    <w:rsid w:val="00AA3536"/>
    <w:rsid w:val="00AD3E4C"/>
    <w:rsid w:val="00B171B9"/>
    <w:rsid w:val="00B37F42"/>
    <w:rsid w:val="00B473F7"/>
    <w:rsid w:val="00B64971"/>
    <w:rsid w:val="00BC383F"/>
    <w:rsid w:val="00BD190E"/>
    <w:rsid w:val="00C37CDF"/>
    <w:rsid w:val="00C96294"/>
    <w:rsid w:val="00CB5A9A"/>
    <w:rsid w:val="00CF10C5"/>
    <w:rsid w:val="00D076E8"/>
    <w:rsid w:val="00D2424D"/>
    <w:rsid w:val="00D519F8"/>
    <w:rsid w:val="00E238B0"/>
    <w:rsid w:val="00E47545"/>
    <w:rsid w:val="00E9215A"/>
    <w:rsid w:val="00E93898"/>
    <w:rsid w:val="00ED3EDC"/>
    <w:rsid w:val="00F6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942"/>
    <w:pPr>
      <w:tabs>
        <w:tab w:val="center" w:pos="4680"/>
        <w:tab w:val="right" w:pos="9360"/>
      </w:tabs>
    </w:pPr>
  </w:style>
  <w:style w:type="character" w:customStyle="1" w:styleId="HeaderChar">
    <w:name w:val="Header Char"/>
    <w:basedOn w:val="DefaultParagraphFont"/>
    <w:link w:val="Header"/>
    <w:uiPriority w:val="99"/>
    <w:rsid w:val="00293942"/>
  </w:style>
  <w:style w:type="paragraph" w:styleId="Footer">
    <w:name w:val="footer"/>
    <w:basedOn w:val="Normal"/>
    <w:link w:val="FooterChar"/>
    <w:uiPriority w:val="99"/>
    <w:unhideWhenUsed/>
    <w:rsid w:val="00293942"/>
    <w:pPr>
      <w:tabs>
        <w:tab w:val="center" w:pos="4680"/>
        <w:tab w:val="right" w:pos="9360"/>
      </w:tabs>
    </w:pPr>
  </w:style>
  <w:style w:type="character" w:customStyle="1" w:styleId="FooterChar">
    <w:name w:val="Footer Char"/>
    <w:basedOn w:val="DefaultParagraphFont"/>
    <w:link w:val="Footer"/>
    <w:uiPriority w:val="99"/>
    <w:rsid w:val="00293942"/>
  </w:style>
  <w:style w:type="paragraph" w:styleId="BalloonText">
    <w:name w:val="Balloon Text"/>
    <w:basedOn w:val="Normal"/>
    <w:link w:val="BalloonTextChar"/>
    <w:uiPriority w:val="99"/>
    <w:semiHidden/>
    <w:unhideWhenUsed/>
    <w:rsid w:val="00293942"/>
    <w:rPr>
      <w:rFonts w:ascii="Tahoma" w:hAnsi="Tahoma" w:cs="Tahoma"/>
      <w:sz w:val="16"/>
      <w:szCs w:val="16"/>
    </w:rPr>
  </w:style>
  <w:style w:type="character" w:customStyle="1" w:styleId="BalloonTextChar">
    <w:name w:val="Balloon Text Char"/>
    <w:basedOn w:val="DefaultParagraphFont"/>
    <w:link w:val="BalloonText"/>
    <w:uiPriority w:val="99"/>
    <w:semiHidden/>
    <w:rsid w:val="00293942"/>
    <w:rPr>
      <w:rFonts w:ascii="Tahoma" w:hAnsi="Tahoma" w:cs="Tahoma"/>
      <w:sz w:val="16"/>
      <w:szCs w:val="16"/>
    </w:rPr>
  </w:style>
  <w:style w:type="table" w:styleId="TableGrid">
    <w:name w:val="Table Grid"/>
    <w:basedOn w:val="TableNormal"/>
    <w:uiPriority w:val="59"/>
    <w:rsid w:val="00CF10C5"/>
    <w:rPr>
      <w:rFonts w:asciiTheme="minorHAnsi" w:eastAsiaTheme="minorEastAsia"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B50"/>
    <w:pPr>
      <w:ind w:left="720"/>
      <w:contextualSpacing/>
    </w:pPr>
    <w:rPr>
      <w:rFonts w:eastAsia="SimSun" w:cs="Times New Roman"/>
      <w:szCs w:val="24"/>
      <w:lang w:eastAsia="zh-CN"/>
    </w:rPr>
  </w:style>
  <w:style w:type="character" w:styleId="Hyperlink">
    <w:name w:val="Hyperlink"/>
    <w:basedOn w:val="DefaultParagraphFont"/>
    <w:uiPriority w:val="99"/>
    <w:unhideWhenUsed/>
    <w:rsid w:val="009B5F02"/>
    <w:rPr>
      <w:color w:val="0000FF" w:themeColor="hyperlink"/>
      <w:u w:val="single"/>
    </w:rPr>
  </w:style>
  <w:style w:type="paragraph" w:styleId="NormalWeb">
    <w:name w:val="Normal (Web)"/>
    <w:basedOn w:val="Normal"/>
    <w:uiPriority w:val="99"/>
    <w:unhideWhenUsed/>
    <w:rsid w:val="0088155C"/>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8155C"/>
  </w:style>
  <w:style w:type="character" w:styleId="Emphasis">
    <w:name w:val="Emphasis"/>
    <w:basedOn w:val="DefaultParagraphFont"/>
    <w:uiPriority w:val="20"/>
    <w:qFormat/>
    <w:rsid w:val="0088155C"/>
    <w:rPr>
      <w:i/>
      <w:iCs/>
    </w:rPr>
  </w:style>
  <w:style w:type="paragraph" w:styleId="NoSpacing">
    <w:name w:val="No Spacing"/>
    <w:uiPriority w:val="1"/>
    <w:qFormat/>
    <w:rsid w:val="00881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942"/>
    <w:pPr>
      <w:tabs>
        <w:tab w:val="center" w:pos="4680"/>
        <w:tab w:val="right" w:pos="9360"/>
      </w:tabs>
    </w:pPr>
  </w:style>
  <w:style w:type="character" w:customStyle="1" w:styleId="HeaderChar">
    <w:name w:val="Header Char"/>
    <w:basedOn w:val="DefaultParagraphFont"/>
    <w:link w:val="Header"/>
    <w:uiPriority w:val="99"/>
    <w:rsid w:val="00293942"/>
  </w:style>
  <w:style w:type="paragraph" w:styleId="Footer">
    <w:name w:val="footer"/>
    <w:basedOn w:val="Normal"/>
    <w:link w:val="FooterChar"/>
    <w:uiPriority w:val="99"/>
    <w:unhideWhenUsed/>
    <w:rsid w:val="00293942"/>
    <w:pPr>
      <w:tabs>
        <w:tab w:val="center" w:pos="4680"/>
        <w:tab w:val="right" w:pos="9360"/>
      </w:tabs>
    </w:pPr>
  </w:style>
  <w:style w:type="character" w:customStyle="1" w:styleId="FooterChar">
    <w:name w:val="Footer Char"/>
    <w:basedOn w:val="DefaultParagraphFont"/>
    <w:link w:val="Footer"/>
    <w:uiPriority w:val="99"/>
    <w:rsid w:val="00293942"/>
  </w:style>
  <w:style w:type="paragraph" w:styleId="BalloonText">
    <w:name w:val="Balloon Text"/>
    <w:basedOn w:val="Normal"/>
    <w:link w:val="BalloonTextChar"/>
    <w:uiPriority w:val="99"/>
    <w:semiHidden/>
    <w:unhideWhenUsed/>
    <w:rsid w:val="00293942"/>
    <w:rPr>
      <w:rFonts w:ascii="Tahoma" w:hAnsi="Tahoma" w:cs="Tahoma"/>
      <w:sz w:val="16"/>
      <w:szCs w:val="16"/>
    </w:rPr>
  </w:style>
  <w:style w:type="character" w:customStyle="1" w:styleId="BalloonTextChar">
    <w:name w:val="Balloon Text Char"/>
    <w:basedOn w:val="DefaultParagraphFont"/>
    <w:link w:val="BalloonText"/>
    <w:uiPriority w:val="99"/>
    <w:semiHidden/>
    <w:rsid w:val="00293942"/>
    <w:rPr>
      <w:rFonts w:ascii="Tahoma" w:hAnsi="Tahoma" w:cs="Tahoma"/>
      <w:sz w:val="16"/>
      <w:szCs w:val="16"/>
    </w:rPr>
  </w:style>
  <w:style w:type="table" w:styleId="TableGrid">
    <w:name w:val="Table Grid"/>
    <w:basedOn w:val="TableNormal"/>
    <w:uiPriority w:val="59"/>
    <w:rsid w:val="00CF10C5"/>
    <w:rPr>
      <w:rFonts w:asciiTheme="minorHAnsi" w:eastAsiaTheme="minorEastAsia"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B50"/>
    <w:pPr>
      <w:ind w:left="720"/>
      <w:contextualSpacing/>
    </w:pPr>
    <w:rPr>
      <w:rFonts w:eastAsia="SimSun" w:cs="Times New Roman"/>
      <w:szCs w:val="24"/>
      <w:lang w:eastAsia="zh-CN"/>
    </w:rPr>
  </w:style>
  <w:style w:type="character" w:styleId="Hyperlink">
    <w:name w:val="Hyperlink"/>
    <w:basedOn w:val="DefaultParagraphFont"/>
    <w:uiPriority w:val="99"/>
    <w:unhideWhenUsed/>
    <w:rsid w:val="009B5F02"/>
    <w:rPr>
      <w:color w:val="0000FF" w:themeColor="hyperlink"/>
      <w:u w:val="single"/>
    </w:rPr>
  </w:style>
  <w:style w:type="paragraph" w:styleId="NormalWeb">
    <w:name w:val="Normal (Web)"/>
    <w:basedOn w:val="Normal"/>
    <w:uiPriority w:val="99"/>
    <w:unhideWhenUsed/>
    <w:rsid w:val="0088155C"/>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8155C"/>
  </w:style>
  <w:style w:type="character" w:styleId="Emphasis">
    <w:name w:val="Emphasis"/>
    <w:basedOn w:val="DefaultParagraphFont"/>
    <w:uiPriority w:val="20"/>
    <w:qFormat/>
    <w:rsid w:val="0088155C"/>
    <w:rPr>
      <w:i/>
      <w:iCs/>
    </w:rPr>
  </w:style>
  <w:style w:type="paragraph" w:styleId="NoSpacing">
    <w:name w:val="No Spacing"/>
    <w:uiPriority w:val="1"/>
    <w:qFormat/>
    <w:rsid w:val="0088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97920">
      <w:bodyDiv w:val="1"/>
      <w:marLeft w:val="0"/>
      <w:marRight w:val="0"/>
      <w:marTop w:val="0"/>
      <w:marBottom w:val="0"/>
      <w:divBdr>
        <w:top w:val="none" w:sz="0" w:space="0" w:color="auto"/>
        <w:left w:val="none" w:sz="0" w:space="0" w:color="auto"/>
        <w:bottom w:val="none" w:sz="0" w:space="0" w:color="auto"/>
        <w:right w:val="none" w:sz="0" w:space="0" w:color="auto"/>
      </w:divBdr>
    </w:div>
    <w:div w:id="15614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llermayer.com/lawyers-ithaca/david-wilks/" TargetMode="External"/><Relationship Id="rId18" Type="http://schemas.openxmlformats.org/officeDocument/2006/relationships/hyperlink" Target="https://s3.amazonaws.com/public-inspection.federalregister.gov/2019-1714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terncurray.com/our-people/lisa-h-york/" TargetMode="External"/><Relationship Id="rId17" Type="http://schemas.openxmlformats.org/officeDocument/2006/relationships/hyperlink" Target="https://www.presidentsimmigrationalliance.org/wp-content/uploads/2019/09/2019-09-16-Joint-Statement-on-Public-Charge-Brief.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residentsimmigrationalliance.org/pressrelease/higher-education-leaders-recognize-significant-harm-to-immigrant-families-resulting-from-uscis-final-public-charge-ru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llermayer.com/lawyers-ithaca/steve-yale-loehr-immigration-law/"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propublica.org/article/the-trump-administration-issues-dozens-of-corrections-to-its-error-riddled-immigration-rule?utm_source=AILA+Mailing&amp;utm_campaign=748f46ec26-AILA8_10_02_2019&amp;utm_medium=email&amp;utm_term=0_3c0e619096-748f46ec26-292023909" TargetMode="External"/><Relationship Id="rId23" Type="http://schemas.openxmlformats.org/officeDocument/2006/relationships/footer" Target="footer2.xml"/><Relationship Id="rId10" Type="http://schemas.openxmlformats.org/officeDocument/2006/relationships/hyperlink" Target="https://cbkimmigration.com/staff/julia-teele/" TargetMode="External"/><Relationship Id="rId19" Type="http://schemas.openxmlformats.org/officeDocument/2006/relationships/hyperlink" Target="https://www.whitehouse.gov/presidential-actions/presidential-proclamation-suspension-entry-immigrants-will-financially-burden-united-states-healthcare-system/" TargetMode="External"/><Relationship Id="rId4" Type="http://schemas.microsoft.com/office/2007/relationships/stylesWithEffects" Target="stylesWithEffects.xml"/><Relationship Id="rId9" Type="http://schemas.openxmlformats.org/officeDocument/2006/relationships/hyperlink" Target="https://cbkimmigration.com/staff/dan-berger/" TargetMode="External"/><Relationship Id="rId14" Type="http://schemas.openxmlformats.org/officeDocument/2006/relationships/hyperlink" Target="https://millermayer.com/lawyers-ithaca/sandra-bruno-immigration-law/"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nafsa.org/regulatory-information/dhs-final-rule-public-charge-determinations" TargetMode="External"/><Relationship Id="rId3" Type="http://schemas.openxmlformats.org/officeDocument/2006/relationships/hyperlink" Target="https://protectingimmigrantfamilies.org/wp-content/uploads/2019/08/Lets-Talk-About-Public-Charge-Updated-August-2019.pdf" TargetMode="External"/><Relationship Id="rId7" Type="http://schemas.openxmlformats.org/officeDocument/2006/relationships/hyperlink" Target="https://www.forbes.com/sites/stuartanderson/2019/10/07/trump-bars-immigrants-without-health-insurance-what-it-means/" TargetMode="External"/><Relationship Id="rId2" Type="http://schemas.openxmlformats.org/officeDocument/2006/relationships/hyperlink" Target="https://www.urban.org/urban-wire/how-uncertainty-surrounding-public-charge-rule-leads-hardship-immigrant-families" TargetMode="External"/><Relationship Id="rId1" Type="http://schemas.openxmlformats.org/officeDocument/2006/relationships/hyperlink" Target="https://www.nafsa.org/regulatory-information/dhs-final-rule-public-charge-determinations" TargetMode="External"/><Relationship Id="rId6" Type="http://schemas.openxmlformats.org/officeDocument/2006/relationships/hyperlink" Target="https://www.immigrationadvocates.org/nonprofit/legaldirectory/" TargetMode="External"/><Relationship Id="rId5" Type="http://schemas.openxmlformats.org/officeDocument/2006/relationships/hyperlink" Target="https://www.urban.org/urban-wire/how-uncertainty-surrounding-public-charge-rule-leads-hardship-immigrant-families" TargetMode="External"/><Relationship Id="rId4" Type="http://schemas.openxmlformats.org/officeDocument/2006/relationships/hyperlink" Target="https://protectingimmigrantfamilies.org/wp-content/uploads/2019/08/Lets-Talk-About-Public-Charge-Updated-August-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A9CD-6004-4983-B32A-F926CF39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Gibbon</dc:creator>
  <cp:lastModifiedBy>Stacey Sieverding</cp:lastModifiedBy>
  <cp:revision>7</cp:revision>
  <cp:lastPrinted>2015-11-18T18:47:00Z</cp:lastPrinted>
  <dcterms:created xsi:type="dcterms:W3CDTF">2016-01-25T18:32:00Z</dcterms:created>
  <dcterms:modified xsi:type="dcterms:W3CDTF">2019-10-09T14:20:00Z</dcterms:modified>
</cp:coreProperties>
</file>